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E559A0">
        <w:rPr>
          <w:rFonts w:ascii="Times New Roman" w:hAnsi="Times New Roman" w:cs="Times New Roman"/>
        </w:rPr>
        <w:t>.2</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10A52" w:rsidRPr="000341E1">
        <w:rPr>
          <w:rFonts w:ascii="Times New Roman" w:hAnsi="Times New Roman" w:cs="Times New Roman"/>
        </w:rPr>
        <w:t>82</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10A52" w:rsidRPr="000341E1">
        <w:rPr>
          <w:rFonts w:ascii="Times New Roman" w:hAnsi="Times New Roman" w:cs="Times New Roman"/>
          <w:b/>
        </w:rPr>
        <w:t xml:space="preserve">Aprīkojuma iegāde RTU </w:t>
      </w:r>
      <w:proofErr w:type="spellStart"/>
      <w:r w:rsidR="00210A52" w:rsidRPr="000341E1">
        <w:rPr>
          <w:rFonts w:ascii="Times New Roman" w:hAnsi="Times New Roman" w:cs="Times New Roman"/>
          <w:b/>
        </w:rPr>
        <w:t>Materiālzinātnes</w:t>
      </w:r>
      <w:proofErr w:type="spellEnd"/>
      <w:r w:rsidR="00210A52" w:rsidRPr="000341E1">
        <w:rPr>
          <w:rFonts w:ascii="Times New Roman" w:hAnsi="Times New Roman" w:cs="Times New Roman"/>
          <w:b/>
        </w:rPr>
        <w:t xml:space="preserve"> un lietišķās ķīmijas fakultātes Lietišķās ķīmijas institūtam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10A52" w:rsidRPr="000341E1">
        <w:rPr>
          <w:rFonts w:ascii="Times New Roman" w:eastAsia="Cambria" w:hAnsi="Times New Roman" w:cs="Times New Roman"/>
          <w:b/>
          <w:kern w:val="56"/>
        </w:rPr>
        <w:t>ID Nr.: RTU – 2018/82</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C2439B">
        <w:rPr>
          <w:rFonts w:ascii="Times New Roman" w:eastAsia="Cambria" w:hAnsi="Times New Roman" w:cs="Times New Roman"/>
          <w:i/>
          <w:kern w:val="56"/>
        </w:rPr>
        <w:t>daļā Nr.2</w:t>
      </w:r>
      <w:r w:rsidRPr="000341E1">
        <w:rPr>
          <w:rFonts w:ascii="Times New Roman" w:eastAsia="Cambria" w:hAnsi="Times New Roman" w:cs="Times New Roman"/>
          <w:i/>
          <w:kern w:val="56"/>
        </w:rPr>
        <w:t xml:space="preserve"> “</w:t>
      </w:r>
      <w:r w:rsidR="00C2439B" w:rsidRPr="00C2439B">
        <w:rPr>
          <w:rFonts w:ascii="Times New Roman" w:hAnsi="Times New Roman" w:cs="Times New Roman"/>
          <w:bCs/>
          <w:i/>
        </w:rPr>
        <w:t>Ultraskaņas vanna ar sildīšanu un izvadu</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340"/>
        <w:gridCol w:w="1554"/>
        <w:gridCol w:w="4656"/>
      </w:tblGrid>
      <w:tr w:rsidR="00210A52" w:rsidRPr="000341E1" w:rsidTr="00210A52">
        <w:tc>
          <w:tcPr>
            <w:tcW w:w="625" w:type="dxa"/>
          </w:tcPr>
          <w:p w:rsidR="00210A52" w:rsidRPr="000341E1" w:rsidRDefault="00210A52" w:rsidP="00AC4ABD">
            <w:pPr>
              <w:rPr>
                <w:rFonts w:ascii="Times New Roman" w:hAnsi="Times New Roman" w:cs="Times New Roman"/>
              </w:rPr>
            </w:pPr>
            <w:proofErr w:type="spellStart"/>
            <w:r w:rsidRPr="000341E1">
              <w:rPr>
                <w:rFonts w:ascii="Times New Roman" w:hAnsi="Times New Roman" w:cs="Times New Roman"/>
              </w:rPr>
              <w:t>Nr.p.k</w:t>
            </w:r>
            <w:proofErr w:type="spellEnd"/>
            <w:r w:rsidRPr="000341E1">
              <w:rPr>
                <w:rFonts w:ascii="Times New Roman" w:hAnsi="Times New Roman" w:cs="Times New Roman"/>
              </w:rPr>
              <w:t>.</w:t>
            </w:r>
          </w:p>
        </w:tc>
        <w:tc>
          <w:tcPr>
            <w:tcW w:w="153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Nosaukums</w:t>
            </w:r>
          </w:p>
        </w:tc>
        <w:tc>
          <w:tcPr>
            <w:tcW w:w="315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Sastāvdaļas vai tehniskie parametri</w:t>
            </w:r>
          </w:p>
        </w:tc>
        <w:tc>
          <w:tcPr>
            <w:tcW w:w="234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Prasības</w:t>
            </w:r>
          </w:p>
        </w:tc>
        <w:tc>
          <w:tcPr>
            <w:tcW w:w="1554"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rsidTr="0084424A">
        <w:trPr>
          <w:trHeight w:val="170"/>
        </w:trPr>
        <w:tc>
          <w:tcPr>
            <w:tcW w:w="625" w:type="dxa"/>
            <w:vMerge w:val="restart"/>
          </w:tcPr>
          <w:p w:rsidR="00E559A0" w:rsidRPr="000341E1" w:rsidRDefault="00E559A0" w:rsidP="0084424A">
            <w:pPr>
              <w:pStyle w:val="NoSpacing"/>
              <w:jc w:val="center"/>
            </w:pPr>
            <w:r>
              <w:t>1</w:t>
            </w:r>
            <w:r w:rsidRPr="000341E1">
              <w:t>.</w:t>
            </w:r>
          </w:p>
        </w:tc>
        <w:tc>
          <w:tcPr>
            <w:tcW w:w="1530" w:type="dxa"/>
            <w:vMerge w:val="restart"/>
          </w:tcPr>
          <w:p w:rsidR="00E559A0" w:rsidRPr="000341E1" w:rsidRDefault="00E559A0" w:rsidP="0084424A">
            <w:pPr>
              <w:rPr>
                <w:rFonts w:ascii="Times New Roman" w:hAnsi="Times New Roman" w:cs="Times New Roman"/>
              </w:rPr>
            </w:pPr>
            <w:r w:rsidRPr="000341E1">
              <w:rPr>
                <w:rFonts w:ascii="Times New Roman" w:hAnsi="Times New Roman" w:cs="Times New Roman"/>
              </w:rPr>
              <w:t>Ultraskaņas vanna ar sildīšanu un izvadu</w:t>
            </w:r>
          </w:p>
        </w:tc>
        <w:tc>
          <w:tcPr>
            <w:tcW w:w="3150" w:type="dxa"/>
          </w:tcPr>
          <w:p w:rsidR="00E559A0" w:rsidRPr="000341E1" w:rsidRDefault="00E559A0"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340" w:type="dxa"/>
          </w:tcPr>
          <w:p w:rsidR="00E559A0" w:rsidRPr="000341E1" w:rsidRDefault="00E559A0" w:rsidP="0084424A">
            <w:pPr>
              <w:spacing w:line="480" w:lineRule="auto"/>
              <w:rPr>
                <w:rFonts w:ascii="Times New Roman" w:eastAsia="Times New Roman" w:hAnsi="Times New Roman" w:cs="Times New Roman"/>
              </w:rPr>
            </w:pPr>
          </w:p>
        </w:tc>
        <w:tc>
          <w:tcPr>
            <w:tcW w:w="1554" w:type="dxa"/>
            <w:vMerge w:val="restart"/>
          </w:tcPr>
          <w:p w:rsidR="00E559A0" w:rsidRPr="000341E1" w:rsidRDefault="00E559A0" w:rsidP="0084424A">
            <w:pPr>
              <w:jc w:val="center"/>
              <w:rPr>
                <w:rFonts w:ascii="Times New Roman" w:hAnsi="Times New Roman" w:cs="Times New Roman"/>
              </w:rPr>
            </w:pPr>
            <w:r>
              <w:rPr>
                <w:rFonts w:ascii="Times New Roman" w:hAnsi="Times New Roman" w:cs="Times New Roman"/>
              </w:rPr>
              <w:t>2</w:t>
            </w:r>
          </w:p>
        </w:tc>
        <w:tc>
          <w:tcPr>
            <w:tcW w:w="4656" w:type="dxa"/>
          </w:tcPr>
          <w:p w:rsidR="00E559A0" w:rsidRPr="000341E1" w:rsidRDefault="00E559A0" w:rsidP="0084424A">
            <w:pPr>
              <w:rPr>
                <w:rFonts w:ascii="Times New Roman" w:hAnsi="Times New Roman" w:cs="Times New Roman"/>
              </w:rPr>
            </w:pPr>
          </w:p>
        </w:tc>
      </w:tr>
      <w:tr w:rsidR="00E559A0" w:rsidRPr="000341E1" w:rsidTr="0084424A">
        <w:trPr>
          <w:trHeight w:val="170"/>
        </w:trPr>
        <w:tc>
          <w:tcPr>
            <w:tcW w:w="625" w:type="dxa"/>
            <w:vMerge/>
          </w:tcPr>
          <w:p w:rsidR="00E559A0" w:rsidRPr="000341E1" w:rsidRDefault="00E559A0" w:rsidP="0084424A">
            <w:pPr>
              <w:pStyle w:val="NoSpacing"/>
              <w:jc w:val="center"/>
            </w:pPr>
          </w:p>
        </w:tc>
        <w:tc>
          <w:tcPr>
            <w:tcW w:w="1530" w:type="dxa"/>
            <w:vMerge/>
          </w:tcPr>
          <w:p w:rsidR="00E559A0" w:rsidRPr="000341E1" w:rsidRDefault="00E559A0" w:rsidP="0084424A">
            <w:pPr>
              <w:rPr>
                <w:rFonts w:ascii="Times New Roman" w:hAnsi="Times New Roman" w:cs="Times New Roman"/>
              </w:rPr>
            </w:pPr>
          </w:p>
        </w:tc>
        <w:tc>
          <w:tcPr>
            <w:tcW w:w="3150" w:type="dxa"/>
          </w:tcPr>
          <w:p w:rsidR="00E559A0" w:rsidRPr="0058431E" w:rsidRDefault="00F91201" w:rsidP="00E559A0">
            <w:pPr>
              <w:rPr>
                <w:rFonts w:ascii="Times New Roman" w:eastAsia="Times New Roman" w:hAnsi="Times New Roman" w:cs="Times New Roman"/>
              </w:rPr>
            </w:pPr>
            <w:r>
              <w:rPr>
                <w:rFonts w:ascii="Times New Roman" w:eastAsia="Times New Roman" w:hAnsi="Times New Roman" w:cs="Times New Roman"/>
              </w:rPr>
              <w:t>1.1.</w:t>
            </w:r>
            <w:r w:rsidR="00E559A0">
              <w:rPr>
                <w:rFonts w:ascii="Times New Roman" w:eastAsia="Times New Roman" w:hAnsi="Times New Roman" w:cs="Times New Roman"/>
              </w:rPr>
              <w:t>Tilpums</w:t>
            </w:r>
          </w:p>
        </w:tc>
        <w:tc>
          <w:tcPr>
            <w:tcW w:w="2340" w:type="dxa"/>
          </w:tcPr>
          <w:p w:rsidR="00E559A0" w:rsidRPr="0058431E" w:rsidRDefault="00E559A0" w:rsidP="0084424A">
            <w:pPr>
              <w:ind w:firstLine="126"/>
              <w:contextualSpacing/>
              <w:rPr>
                <w:rFonts w:ascii="Times New Roman" w:hAnsi="Times New Roman" w:cs="Times New Roman"/>
              </w:rPr>
            </w:pPr>
            <w:r>
              <w:rPr>
                <w:rFonts w:ascii="Times New Roman" w:eastAsia="Times New Roman" w:hAnsi="Times New Roman" w:cs="Times New Roman"/>
              </w:rPr>
              <w:t>Vismaz 4l</w:t>
            </w:r>
          </w:p>
        </w:tc>
        <w:tc>
          <w:tcPr>
            <w:tcW w:w="1554" w:type="dxa"/>
            <w:vMerge/>
          </w:tcPr>
          <w:p w:rsidR="00E559A0" w:rsidRPr="000341E1" w:rsidRDefault="00E559A0" w:rsidP="0084424A">
            <w:pPr>
              <w:jc w:val="center"/>
              <w:rPr>
                <w:rFonts w:ascii="Times New Roman" w:hAnsi="Times New Roman" w:cs="Times New Roman"/>
              </w:rPr>
            </w:pPr>
          </w:p>
        </w:tc>
        <w:tc>
          <w:tcPr>
            <w:tcW w:w="4656" w:type="dxa"/>
          </w:tcPr>
          <w:p w:rsidR="00E559A0" w:rsidRPr="000341E1" w:rsidRDefault="00E559A0" w:rsidP="0084424A">
            <w:pPr>
              <w:rPr>
                <w:rFonts w:ascii="Times New Roman" w:hAnsi="Times New Roman" w:cs="Times New Roman"/>
              </w:rPr>
            </w:pPr>
          </w:p>
        </w:tc>
      </w:tr>
      <w:tr w:rsidR="00E559A0" w:rsidRPr="000341E1" w:rsidTr="0084424A">
        <w:trPr>
          <w:trHeight w:val="170"/>
        </w:trPr>
        <w:tc>
          <w:tcPr>
            <w:tcW w:w="625" w:type="dxa"/>
            <w:vMerge/>
          </w:tcPr>
          <w:p w:rsidR="00E559A0" w:rsidRPr="000341E1" w:rsidRDefault="00E559A0" w:rsidP="0084424A">
            <w:pPr>
              <w:pStyle w:val="NoSpacing"/>
              <w:jc w:val="center"/>
            </w:pPr>
          </w:p>
        </w:tc>
        <w:tc>
          <w:tcPr>
            <w:tcW w:w="1530" w:type="dxa"/>
            <w:vMerge/>
          </w:tcPr>
          <w:p w:rsidR="00E559A0" w:rsidRPr="000341E1" w:rsidRDefault="00E559A0" w:rsidP="0084424A">
            <w:pPr>
              <w:rPr>
                <w:rFonts w:ascii="Times New Roman" w:hAnsi="Times New Roman" w:cs="Times New Roman"/>
              </w:rPr>
            </w:pPr>
          </w:p>
        </w:tc>
        <w:tc>
          <w:tcPr>
            <w:tcW w:w="3150" w:type="dxa"/>
          </w:tcPr>
          <w:p w:rsidR="00E559A0" w:rsidRPr="0058431E" w:rsidRDefault="00F91201" w:rsidP="0084424A">
            <w:pPr>
              <w:rPr>
                <w:rFonts w:ascii="Times New Roman" w:eastAsia="Times New Roman" w:hAnsi="Times New Roman" w:cs="Times New Roman"/>
              </w:rPr>
            </w:pPr>
            <w:bookmarkStart w:id="0" w:name="_GoBack"/>
            <w:bookmarkEnd w:id="0"/>
            <w:r>
              <w:rPr>
                <w:rFonts w:ascii="Times New Roman" w:eastAsia="Times New Roman" w:hAnsi="Times New Roman" w:cs="Times New Roman"/>
              </w:rPr>
              <w:t>1.2</w:t>
            </w:r>
            <w:r w:rsidR="00E559A0">
              <w:rPr>
                <w:rFonts w:ascii="Times New Roman" w:eastAsia="Times New Roman" w:hAnsi="Times New Roman" w:cs="Times New Roman"/>
              </w:rPr>
              <w:t>.Sildīšana</w:t>
            </w:r>
          </w:p>
        </w:tc>
        <w:tc>
          <w:tcPr>
            <w:tcW w:w="2340" w:type="dxa"/>
          </w:tcPr>
          <w:p w:rsidR="00E559A0" w:rsidRPr="0058431E" w:rsidRDefault="00E559A0" w:rsidP="0084424A">
            <w:pPr>
              <w:ind w:firstLine="126"/>
              <w:rPr>
                <w:rFonts w:ascii="Times New Roman" w:eastAsia="Times New Roman" w:hAnsi="Times New Roman" w:cs="Times New Roman"/>
              </w:rPr>
            </w:pPr>
            <w:r>
              <w:rPr>
                <w:rFonts w:ascii="Times New Roman" w:eastAsia="Times New Roman" w:hAnsi="Times New Roman" w:cs="Times New Roman"/>
              </w:rPr>
              <w:t xml:space="preserve"> līdz ~80 </w:t>
            </w:r>
            <w:r w:rsidRPr="0058431E">
              <w:rPr>
                <w:rFonts w:ascii="Times New Roman" w:eastAsia="Times New Roman" w:hAnsi="Times New Roman" w:cs="Times New Roman"/>
              </w:rPr>
              <w:t>°C</w:t>
            </w:r>
            <w:r>
              <w:rPr>
                <w:rFonts w:ascii="Times New Roman" w:eastAsia="Times New Roman" w:hAnsi="Times New Roman" w:cs="Times New Roman"/>
              </w:rPr>
              <w:t xml:space="preserve"> </w:t>
            </w:r>
          </w:p>
        </w:tc>
        <w:tc>
          <w:tcPr>
            <w:tcW w:w="1554" w:type="dxa"/>
            <w:vMerge/>
          </w:tcPr>
          <w:p w:rsidR="00E559A0" w:rsidRPr="000341E1" w:rsidRDefault="00E559A0" w:rsidP="0084424A">
            <w:pPr>
              <w:jc w:val="center"/>
              <w:rPr>
                <w:rFonts w:ascii="Times New Roman" w:hAnsi="Times New Roman" w:cs="Times New Roman"/>
              </w:rPr>
            </w:pPr>
          </w:p>
        </w:tc>
        <w:tc>
          <w:tcPr>
            <w:tcW w:w="4656" w:type="dxa"/>
          </w:tcPr>
          <w:p w:rsidR="00E559A0" w:rsidRPr="000341E1" w:rsidRDefault="00E559A0" w:rsidP="0084424A">
            <w:pPr>
              <w:rPr>
                <w:rFonts w:ascii="Times New Roman" w:hAnsi="Times New Roman" w:cs="Times New Roman"/>
              </w:rPr>
            </w:pPr>
          </w:p>
        </w:tc>
      </w:tr>
      <w:tr w:rsidR="00E559A0" w:rsidRPr="000341E1" w:rsidTr="0084424A">
        <w:trPr>
          <w:trHeight w:val="170"/>
        </w:trPr>
        <w:tc>
          <w:tcPr>
            <w:tcW w:w="625" w:type="dxa"/>
            <w:vMerge/>
          </w:tcPr>
          <w:p w:rsidR="00E559A0" w:rsidRPr="000341E1" w:rsidRDefault="00E559A0" w:rsidP="0084424A">
            <w:pPr>
              <w:pStyle w:val="NoSpacing"/>
              <w:jc w:val="center"/>
            </w:pPr>
          </w:p>
        </w:tc>
        <w:tc>
          <w:tcPr>
            <w:tcW w:w="1530" w:type="dxa"/>
            <w:vMerge/>
          </w:tcPr>
          <w:p w:rsidR="00E559A0" w:rsidRPr="000341E1" w:rsidRDefault="00E559A0" w:rsidP="0084424A">
            <w:pPr>
              <w:rPr>
                <w:rFonts w:ascii="Times New Roman" w:hAnsi="Times New Roman" w:cs="Times New Roman"/>
              </w:rPr>
            </w:pPr>
          </w:p>
        </w:tc>
        <w:tc>
          <w:tcPr>
            <w:tcW w:w="3150" w:type="dxa"/>
          </w:tcPr>
          <w:p w:rsidR="00E559A0" w:rsidRPr="0058431E" w:rsidRDefault="00F91201" w:rsidP="00E559A0">
            <w:pPr>
              <w:rPr>
                <w:rFonts w:ascii="Times New Roman" w:eastAsia="Times New Roman" w:hAnsi="Times New Roman" w:cs="Times New Roman"/>
              </w:rPr>
            </w:pPr>
            <w:r>
              <w:rPr>
                <w:rFonts w:ascii="Times New Roman" w:eastAsia="Times New Roman" w:hAnsi="Times New Roman" w:cs="Times New Roman"/>
              </w:rPr>
              <w:t>1.3</w:t>
            </w:r>
            <w:r w:rsidR="00E559A0">
              <w:rPr>
                <w:rFonts w:ascii="Times New Roman" w:eastAsia="Times New Roman" w:hAnsi="Times New Roman" w:cs="Times New Roman"/>
              </w:rPr>
              <w:t>.Frekvence</w:t>
            </w:r>
          </w:p>
        </w:tc>
        <w:tc>
          <w:tcPr>
            <w:tcW w:w="2340" w:type="dxa"/>
          </w:tcPr>
          <w:p w:rsidR="00E559A0" w:rsidRPr="0058431E" w:rsidRDefault="00E559A0" w:rsidP="0084424A">
            <w:pPr>
              <w:ind w:firstLine="126"/>
              <w:rPr>
                <w:rFonts w:ascii="Times New Roman" w:eastAsia="Times New Roman" w:hAnsi="Times New Roman" w:cs="Times New Roman"/>
              </w:rPr>
            </w:pPr>
            <w:r>
              <w:rPr>
                <w:rFonts w:ascii="Times New Roman" w:eastAsia="Times New Roman" w:hAnsi="Times New Roman" w:cs="Times New Roman"/>
              </w:rPr>
              <w:t xml:space="preserve">Vismaz 35 </w:t>
            </w:r>
            <w:proofErr w:type="spellStart"/>
            <w:r>
              <w:rPr>
                <w:rFonts w:ascii="Times New Roman" w:eastAsia="Times New Roman" w:hAnsi="Times New Roman" w:cs="Times New Roman"/>
              </w:rPr>
              <w:t>kHz</w:t>
            </w:r>
            <w:proofErr w:type="spellEnd"/>
          </w:p>
        </w:tc>
        <w:tc>
          <w:tcPr>
            <w:tcW w:w="1554" w:type="dxa"/>
            <w:vMerge/>
          </w:tcPr>
          <w:p w:rsidR="00E559A0" w:rsidRPr="000341E1" w:rsidRDefault="00E559A0" w:rsidP="0084424A">
            <w:pPr>
              <w:jc w:val="center"/>
              <w:rPr>
                <w:rFonts w:ascii="Times New Roman" w:hAnsi="Times New Roman" w:cs="Times New Roman"/>
              </w:rPr>
            </w:pPr>
          </w:p>
        </w:tc>
        <w:tc>
          <w:tcPr>
            <w:tcW w:w="4656" w:type="dxa"/>
          </w:tcPr>
          <w:p w:rsidR="00E559A0" w:rsidRPr="000341E1" w:rsidRDefault="00E559A0" w:rsidP="0084424A">
            <w:pPr>
              <w:rPr>
                <w:rFonts w:ascii="Times New Roman" w:hAnsi="Times New Roman" w:cs="Times New Roman"/>
              </w:rPr>
            </w:pPr>
          </w:p>
        </w:tc>
      </w:tr>
      <w:tr w:rsidR="00E559A0" w:rsidRPr="000341E1" w:rsidTr="0084424A">
        <w:trPr>
          <w:trHeight w:val="170"/>
        </w:trPr>
        <w:tc>
          <w:tcPr>
            <w:tcW w:w="625" w:type="dxa"/>
            <w:vMerge/>
          </w:tcPr>
          <w:p w:rsidR="00E559A0" w:rsidRPr="000341E1" w:rsidRDefault="00E559A0" w:rsidP="0084424A">
            <w:pPr>
              <w:pStyle w:val="NoSpacing"/>
              <w:jc w:val="center"/>
            </w:pPr>
          </w:p>
        </w:tc>
        <w:tc>
          <w:tcPr>
            <w:tcW w:w="1530" w:type="dxa"/>
            <w:vMerge/>
          </w:tcPr>
          <w:p w:rsidR="00E559A0" w:rsidRPr="000341E1" w:rsidRDefault="00E559A0" w:rsidP="0084424A">
            <w:pPr>
              <w:rPr>
                <w:rFonts w:ascii="Times New Roman" w:hAnsi="Times New Roman" w:cs="Times New Roman"/>
              </w:rPr>
            </w:pPr>
          </w:p>
        </w:tc>
        <w:tc>
          <w:tcPr>
            <w:tcW w:w="3150" w:type="dxa"/>
          </w:tcPr>
          <w:p w:rsidR="00E559A0" w:rsidRPr="0058431E" w:rsidRDefault="00F91201" w:rsidP="00E559A0">
            <w:pPr>
              <w:rPr>
                <w:rFonts w:ascii="Times New Roman" w:eastAsia="Times New Roman" w:hAnsi="Times New Roman" w:cs="Times New Roman"/>
              </w:rPr>
            </w:pPr>
            <w:r>
              <w:rPr>
                <w:rFonts w:ascii="Times New Roman" w:eastAsia="Times New Roman" w:hAnsi="Times New Roman" w:cs="Times New Roman"/>
              </w:rPr>
              <w:t>1.4</w:t>
            </w:r>
            <w:r w:rsidR="00E559A0">
              <w:rPr>
                <w:rFonts w:ascii="Times New Roman" w:eastAsia="Times New Roman" w:hAnsi="Times New Roman" w:cs="Times New Roman"/>
              </w:rPr>
              <w:t>.Taimeris</w:t>
            </w:r>
          </w:p>
        </w:tc>
        <w:tc>
          <w:tcPr>
            <w:tcW w:w="2340" w:type="dxa"/>
          </w:tcPr>
          <w:p w:rsidR="00E559A0" w:rsidRPr="0058431E" w:rsidRDefault="00E559A0" w:rsidP="0084424A">
            <w:pPr>
              <w:ind w:firstLine="126"/>
              <w:rPr>
                <w:rFonts w:ascii="Times New Roman" w:eastAsia="Times New Roman" w:hAnsi="Times New Roman" w:cs="Times New Roman"/>
              </w:rPr>
            </w:pPr>
            <w:r>
              <w:rPr>
                <w:rFonts w:ascii="Times New Roman" w:eastAsia="Times New Roman" w:hAnsi="Times New Roman" w:cs="Times New Roman"/>
              </w:rPr>
              <w:t>No 1 līdz vismaz 30 min</w:t>
            </w:r>
          </w:p>
        </w:tc>
        <w:tc>
          <w:tcPr>
            <w:tcW w:w="1554" w:type="dxa"/>
            <w:vMerge/>
          </w:tcPr>
          <w:p w:rsidR="00E559A0" w:rsidRPr="000341E1" w:rsidRDefault="00E559A0" w:rsidP="0084424A">
            <w:pPr>
              <w:jc w:val="center"/>
              <w:rPr>
                <w:rFonts w:ascii="Times New Roman" w:hAnsi="Times New Roman" w:cs="Times New Roman"/>
              </w:rPr>
            </w:pPr>
          </w:p>
        </w:tc>
        <w:tc>
          <w:tcPr>
            <w:tcW w:w="4656" w:type="dxa"/>
          </w:tcPr>
          <w:p w:rsidR="00E559A0" w:rsidRPr="000341E1" w:rsidRDefault="00E559A0" w:rsidP="0084424A">
            <w:pPr>
              <w:rPr>
                <w:rFonts w:ascii="Times New Roman" w:hAnsi="Times New Roman" w:cs="Times New Roman"/>
              </w:rPr>
            </w:pPr>
          </w:p>
        </w:tc>
      </w:tr>
      <w:tr w:rsidR="00E559A0" w:rsidRPr="000341E1" w:rsidTr="0084424A">
        <w:trPr>
          <w:trHeight w:val="170"/>
        </w:trPr>
        <w:tc>
          <w:tcPr>
            <w:tcW w:w="625" w:type="dxa"/>
            <w:vMerge/>
          </w:tcPr>
          <w:p w:rsidR="00E559A0" w:rsidRPr="000341E1" w:rsidRDefault="00E559A0" w:rsidP="0084424A">
            <w:pPr>
              <w:pStyle w:val="NoSpacing"/>
              <w:jc w:val="center"/>
            </w:pPr>
          </w:p>
        </w:tc>
        <w:tc>
          <w:tcPr>
            <w:tcW w:w="1530" w:type="dxa"/>
            <w:vMerge/>
          </w:tcPr>
          <w:p w:rsidR="00E559A0" w:rsidRPr="000341E1" w:rsidRDefault="00E559A0" w:rsidP="0084424A">
            <w:pPr>
              <w:rPr>
                <w:rFonts w:ascii="Times New Roman" w:hAnsi="Times New Roman" w:cs="Times New Roman"/>
              </w:rPr>
            </w:pPr>
          </w:p>
        </w:tc>
        <w:tc>
          <w:tcPr>
            <w:tcW w:w="3150" w:type="dxa"/>
          </w:tcPr>
          <w:p w:rsidR="00E559A0" w:rsidRPr="0058431E" w:rsidRDefault="00F91201" w:rsidP="00E559A0">
            <w:pPr>
              <w:contextualSpacing/>
              <w:rPr>
                <w:rFonts w:ascii="Times New Roman" w:eastAsia="Times New Roman" w:hAnsi="Times New Roman" w:cs="Times New Roman"/>
              </w:rPr>
            </w:pPr>
            <w:r>
              <w:rPr>
                <w:rFonts w:ascii="Times New Roman" w:eastAsia="Times New Roman" w:hAnsi="Times New Roman" w:cs="Times New Roman"/>
              </w:rPr>
              <w:t>1.5</w:t>
            </w:r>
            <w:r w:rsidR="00E559A0">
              <w:rPr>
                <w:rFonts w:ascii="Times New Roman" w:eastAsia="Times New Roman" w:hAnsi="Times New Roman" w:cs="Times New Roman"/>
              </w:rPr>
              <w:t>.Komplektācija</w:t>
            </w:r>
          </w:p>
        </w:tc>
        <w:tc>
          <w:tcPr>
            <w:tcW w:w="2340" w:type="dxa"/>
          </w:tcPr>
          <w:p w:rsidR="00E559A0" w:rsidRPr="0058431E" w:rsidRDefault="00E559A0" w:rsidP="0084424A">
            <w:pPr>
              <w:ind w:firstLine="126"/>
              <w:rPr>
                <w:rFonts w:ascii="Times New Roman" w:eastAsia="Times New Roman" w:hAnsi="Times New Roman" w:cs="Times New Roman"/>
              </w:rPr>
            </w:pPr>
            <w:r>
              <w:rPr>
                <w:rFonts w:ascii="Times New Roman" w:eastAsia="Times New Roman" w:hAnsi="Times New Roman" w:cs="Times New Roman"/>
              </w:rPr>
              <w:t xml:space="preserve"> Ar izvadu</w:t>
            </w:r>
          </w:p>
        </w:tc>
        <w:tc>
          <w:tcPr>
            <w:tcW w:w="1554" w:type="dxa"/>
            <w:vMerge/>
          </w:tcPr>
          <w:p w:rsidR="00E559A0" w:rsidRPr="000341E1" w:rsidRDefault="00E559A0" w:rsidP="0084424A">
            <w:pPr>
              <w:jc w:val="center"/>
              <w:rPr>
                <w:rFonts w:ascii="Times New Roman" w:hAnsi="Times New Roman" w:cs="Times New Roman"/>
              </w:rPr>
            </w:pPr>
          </w:p>
        </w:tc>
        <w:tc>
          <w:tcPr>
            <w:tcW w:w="4656" w:type="dxa"/>
          </w:tcPr>
          <w:p w:rsidR="00E559A0" w:rsidRPr="000341E1" w:rsidRDefault="00E559A0" w:rsidP="0084424A">
            <w:pPr>
              <w:rPr>
                <w:rFonts w:ascii="Times New Roman" w:hAnsi="Times New Roman" w:cs="Times New Roman"/>
              </w:rPr>
            </w:pPr>
          </w:p>
        </w:tc>
      </w:tr>
      <w:tr w:rsidR="00E559A0" w:rsidRPr="000341E1" w:rsidTr="0084424A">
        <w:trPr>
          <w:trHeight w:val="170"/>
        </w:trPr>
        <w:tc>
          <w:tcPr>
            <w:tcW w:w="625" w:type="dxa"/>
            <w:vMerge/>
          </w:tcPr>
          <w:p w:rsidR="00E559A0" w:rsidRPr="000341E1" w:rsidRDefault="00E559A0" w:rsidP="0084424A">
            <w:pPr>
              <w:pStyle w:val="NoSpacing"/>
              <w:jc w:val="center"/>
            </w:pPr>
          </w:p>
        </w:tc>
        <w:tc>
          <w:tcPr>
            <w:tcW w:w="1530" w:type="dxa"/>
            <w:vMerge/>
          </w:tcPr>
          <w:p w:rsidR="00E559A0" w:rsidRPr="000341E1" w:rsidRDefault="00E559A0" w:rsidP="0084424A">
            <w:pPr>
              <w:rPr>
                <w:rFonts w:ascii="Times New Roman" w:hAnsi="Times New Roman" w:cs="Times New Roman"/>
              </w:rPr>
            </w:pPr>
          </w:p>
        </w:tc>
        <w:tc>
          <w:tcPr>
            <w:tcW w:w="3150" w:type="dxa"/>
          </w:tcPr>
          <w:p w:rsidR="00E559A0" w:rsidRDefault="00F91201" w:rsidP="00E559A0">
            <w:pPr>
              <w:contextualSpacing/>
              <w:rPr>
                <w:rFonts w:ascii="Times New Roman" w:eastAsia="Times New Roman" w:hAnsi="Times New Roman" w:cs="Times New Roman"/>
              </w:rPr>
            </w:pPr>
            <w:r>
              <w:rPr>
                <w:rFonts w:ascii="Times New Roman" w:eastAsia="Times New Roman" w:hAnsi="Times New Roman" w:cs="Times New Roman"/>
              </w:rPr>
              <w:t>1.6</w:t>
            </w:r>
            <w:r w:rsidR="00E559A0">
              <w:rPr>
                <w:rFonts w:ascii="Times New Roman" w:eastAsia="Times New Roman" w:hAnsi="Times New Roman" w:cs="Times New Roman"/>
              </w:rPr>
              <w:t xml:space="preserve">.Savienotājkabelis </w:t>
            </w:r>
          </w:p>
        </w:tc>
        <w:tc>
          <w:tcPr>
            <w:tcW w:w="2340" w:type="dxa"/>
          </w:tcPr>
          <w:p w:rsidR="00E559A0" w:rsidRDefault="00E559A0" w:rsidP="0084424A">
            <w:pPr>
              <w:ind w:firstLine="126"/>
              <w:rPr>
                <w:rFonts w:ascii="Times New Roman" w:eastAsia="Times New Roman" w:hAnsi="Times New Roman" w:cs="Times New Roman"/>
              </w:rPr>
            </w:pPr>
            <w:r>
              <w:rPr>
                <w:rFonts w:ascii="Times New Roman" w:eastAsia="Times New Roman" w:hAnsi="Times New Roman" w:cs="Times New Roman"/>
              </w:rPr>
              <w:t>Vismaz 1 m garš</w:t>
            </w:r>
          </w:p>
        </w:tc>
        <w:tc>
          <w:tcPr>
            <w:tcW w:w="1554" w:type="dxa"/>
            <w:vMerge/>
          </w:tcPr>
          <w:p w:rsidR="00E559A0" w:rsidRPr="000341E1" w:rsidRDefault="00E559A0" w:rsidP="0084424A">
            <w:pPr>
              <w:jc w:val="center"/>
              <w:rPr>
                <w:rFonts w:ascii="Times New Roman" w:hAnsi="Times New Roman" w:cs="Times New Roman"/>
              </w:rPr>
            </w:pPr>
          </w:p>
        </w:tc>
        <w:tc>
          <w:tcPr>
            <w:tcW w:w="4656" w:type="dxa"/>
          </w:tcPr>
          <w:p w:rsidR="00E559A0" w:rsidRPr="000341E1" w:rsidRDefault="00E559A0" w:rsidP="0084424A">
            <w:pPr>
              <w:rPr>
                <w:rFonts w:ascii="Times New Roman" w:hAnsi="Times New Roman" w:cs="Times New Roman"/>
              </w:rPr>
            </w:pPr>
          </w:p>
        </w:tc>
      </w:tr>
      <w:tr w:rsidR="00E559A0" w:rsidRPr="000341E1" w:rsidTr="0084424A">
        <w:trPr>
          <w:trHeight w:val="170"/>
        </w:trPr>
        <w:tc>
          <w:tcPr>
            <w:tcW w:w="625" w:type="dxa"/>
            <w:vMerge/>
            <w:tcBorders>
              <w:bottom w:val="single" w:sz="4" w:space="0" w:color="auto"/>
            </w:tcBorders>
          </w:tcPr>
          <w:p w:rsidR="00E559A0" w:rsidRPr="000341E1" w:rsidRDefault="00E559A0" w:rsidP="0084424A">
            <w:pPr>
              <w:pStyle w:val="NoSpacing"/>
              <w:jc w:val="center"/>
            </w:pPr>
          </w:p>
        </w:tc>
        <w:tc>
          <w:tcPr>
            <w:tcW w:w="1530" w:type="dxa"/>
            <w:vMerge/>
            <w:tcBorders>
              <w:bottom w:val="single" w:sz="4" w:space="0" w:color="auto"/>
            </w:tcBorders>
          </w:tcPr>
          <w:p w:rsidR="00E559A0" w:rsidRPr="000341E1" w:rsidRDefault="00E559A0" w:rsidP="0084424A">
            <w:pPr>
              <w:rPr>
                <w:rFonts w:ascii="Times New Roman" w:hAnsi="Times New Roman" w:cs="Times New Roman"/>
              </w:rPr>
            </w:pPr>
          </w:p>
        </w:tc>
        <w:tc>
          <w:tcPr>
            <w:tcW w:w="3150" w:type="dxa"/>
            <w:tcBorders>
              <w:bottom w:val="single" w:sz="4" w:space="0" w:color="auto"/>
            </w:tcBorders>
          </w:tcPr>
          <w:p w:rsidR="00E559A0" w:rsidRPr="0058431E" w:rsidRDefault="00F91201" w:rsidP="00E559A0">
            <w:pPr>
              <w:contextualSpacing/>
              <w:rPr>
                <w:rFonts w:ascii="Times New Roman" w:hAnsi="Times New Roman" w:cs="Times New Roman"/>
              </w:rPr>
            </w:pPr>
            <w:r>
              <w:rPr>
                <w:rFonts w:ascii="Times New Roman" w:hAnsi="Times New Roman" w:cs="Times New Roman"/>
              </w:rPr>
              <w:t>1.7</w:t>
            </w:r>
            <w:r w:rsidR="00E559A0">
              <w:rPr>
                <w:rFonts w:ascii="Times New Roman" w:hAnsi="Times New Roman" w:cs="Times New Roman"/>
              </w:rPr>
              <w:t>.Spriegums</w:t>
            </w:r>
            <w:r w:rsidR="00E559A0" w:rsidRPr="0058431E">
              <w:rPr>
                <w:rFonts w:ascii="Times New Roman" w:hAnsi="Times New Roman" w:cs="Times New Roman"/>
              </w:rPr>
              <w:t>:</w:t>
            </w:r>
          </w:p>
        </w:tc>
        <w:tc>
          <w:tcPr>
            <w:tcW w:w="2340" w:type="dxa"/>
            <w:tcBorders>
              <w:bottom w:val="single" w:sz="4" w:space="0" w:color="auto"/>
            </w:tcBorders>
          </w:tcPr>
          <w:p w:rsidR="00E559A0" w:rsidRPr="0058431E" w:rsidRDefault="00E559A0" w:rsidP="0084424A">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EE792E">
              <w:rPr>
                <w:rFonts w:ascii="Times New Roman" w:eastAsia="Times New Roman" w:hAnsi="Times New Roman" w:cs="Times New Roman"/>
              </w:rPr>
              <w:t>220V- 240 V  50 Hz</w:t>
            </w:r>
          </w:p>
        </w:tc>
        <w:tc>
          <w:tcPr>
            <w:tcW w:w="1554" w:type="dxa"/>
            <w:vMerge/>
            <w:tcBorders>
              <w:bottom w:val="single" w:sz="4" w:space="0" w:color="auto"/>
            </w:tcBorders>
          </w:tcPr>
          <w:p w:rsidR="00E559A0" w:rsidRPr="000341E1" w:rsidRDefault="00E559A0" w:rsidP="0084424A">
            <w:pPr>
              <w:jc w:val="center"/>
              <w:rPr>
                <w:rFonts w:ascii="Times New Roman" w:hAnsi="Times New Roman" w:cs="Times New Roman"/>
              </w:rPr>
            </w:pPr>
          </w:p>
        </w:tc>
        <w:tc>
          <w:tcPr>
            <w:tcW w:w="4656" w:type="dxa"/>
          </w:tcPr>
          <w:p w:rsidR="00E559A0" w:rsidRPr="000341E1" w:rsidRDefault="00E559A0" w:rsidP="0084424A">
            <w:pPr>
              <w:rPr>
                <w:rFonts w:ascii="Times New Roman" w:hAnsi="Times New Roman" w:cs="Times New Roman"/>
              </w:rPr>
            </w:pPr>
          </w:p>
        </w:tc>
      </w:tr>
    </w:tbl>
    <w:p w:rsidR="00E559A0" w:rsidRDefault="00E559A0" w:rsidP="00F95A1B">
      <w:pPr>
        <w:spacing w:after="0" w:line="240" w:lineRule="auto"/>
        <w:ind w:right="-450"/>
        <w:jc w:val="both"/>
        <w:rPr>
          <w:rFonts w:ascii="Times New Roman" w:eastAsia="Cambria" w:hAnsi="Times New Roman" w:cs="Times New Roman"/>
          <w:b/>
          <w:kern w:val="56"/>
        </w:rPr>
      </w:pPr>
    </w:p>
    <w:p w:rsidR="00B45EA8" w:rsidRPr="000341E1" w:rsidRDefault="00B45EA8" w:rsidP="00F95A1B">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Preču iepakojumam jābūt tādam, lai tiktu maksimāli samazināta iespēja sabojāt Preci tās transportēšanas laikā.</w:t>
      </w:r>
    </w:p>
    <w:p w:rsidR="002F1390"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210A52"/>
    <w:rsid w:val="00293355"/>
    <w:rsid w:val="002F1390"/>
    <w:rsid w:val="003077B8"/>
    <w:rsid w:val="003778B0"/>
    <w:rsid w:val="003C5327"/>
    <w:rsid w:val="00694B35"/>
    <w:rsid w:val="00887C4B"/>
    <w:rsid w:val="008B4586"/>
    <w:rsid w:val="00A944C0"/>
    <w:rsid w:val="00AC159E"/>
    <w:rsid w:val="00B45EA8"/>
    <w:rsid w:val="00C2439B"/>
    <w:rsid w:val="00C45255"/>
    <w:rsid w:val="00DD52AE"/>
    <w:rsid w:val="00E559A0"/>
    <w:rsid w:val="00E91D1F"/>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5D60"/>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1856</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17</cp:revision>
  <dcterms:created xsi:type="dcterms:W3CDTF">2018-03-15T08:46:00Z</dcterms:created>
  <dcterms:modified xsi:type="dcterms:W3CDTF">2018-08-21T08:53:00Z</dcterms:modified>
</cp:coreProperties>
</file>