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5449"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EC7A33">
        <w:rPr>
          <w:rFonts w:ascii="Times New Roman" w:hAnsi="Times New Roman" w:cs="Times New Roman"/>
        </w:rPr>
        <w:t>.8</w:t>
      </w:r>
      <w:r w:rsidRPr="000341E1">
        <w:rPr>
          <w:rFonts w:ascii="Times New Roman" w:hAnsi="Times New Roman" w:cs="Times New Roman"/>
        </w:rPr>
        <w:t>.</w:t>
      </w:r>
    </w:p>
    <w:p w14:paraId="677D4C7C"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14:paraId="4CEC1454"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17D4A7D8" w14:textId="77777777"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14:paraId="5437CE54" w14:textId="77777777"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EC7A33">
        <w:rPr>
          <w:rFonts w:ascii="Times New Roman" w:eastAsia="Cambria" w:hAnsi="Times New Roman" w:cs="Times New Roman"/>
          <w:i/>
          <w:kern w:val="56"/>
        </w:rPr>
        <w:t>8</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EC7A33" w:rsidRPr="00EC7A33">
        <w:rPr>
          <w:rFonts w:ascii="Times New Roman" w:eastAsia="Cambria" w:hAnsi="Times New Roman" w:cs="Times New Roman"/>
          <w:i/>
          <w:kern w:val="56"/>
        </w:rPr>
        <w:t>Laboratorijas iekārta gāzes likumu novērošanai</w:t>
      </w:r>
      <w:r w:rsidRPr="00CC2A2F">
        <w:rPr>
          <w:rFonts w:ascii="Times New Roman" w:eastAsia="Cambria" w:hAnsi="Times New Roman" w:cs="Times New Roman"/>
          <w:i/>
          <w:kern w:val="56"/>
        </w:rPr>
        <w:t>”</w:t>
      </w:r>
    </w:p>
    <w:p w14:paraId="7BF34394" w14:textId="77777777" w:rsidR="003F006B" w:rsidRPr="003F006B" w:rsidRDefault="00710CE7" w:rsidP="00F31C8D">
      <w:pPr>
        <w:jc w:val="center"/>
        <w:rPr>
          <w:rFonts w:ascii="Times New Roman" w:eastAsia="Cambria" w:hAnsi="Times New Roman" w:cs="Times New Roman"/>
          <w:kern w:val="56"/>
        </w:rPr>
      </w:pPr>
      <w:r>
        <w:rPr>
          <w:rFonts w:ascii="Times New Roman" w:eastAsia="Cambria" w:hAnsi="Times New Roman" w:cs="Times New Roman"/>
          <w:kern w:val="56"/>
        </w:rPr>
        <w:t>Apraksts</w:t>
      </w:r>
      <w:r w:rsidR="00560F69">
        <w:rPr>
          <w:rFonts w:ascii="Times New Roman" w:eastAsia="Cambria" w:hAnsi="Times New Roman" w:cs="Times New Roman"/>
          <w:kern w:val="56"/>
        </w:rPr>
        <w:t>:</w:t>
      </w:r>
      <w:r>
        <w:rPr>
          <w:rFonts w:ascii="Times New Roman" w:eastAsia="Cambria" w:hAnsi="Times New Roman" w:cs="Times New Roman"/>
          <w:kern w:val="56"/>
        </w:rPr>
        <w:t xml:space="preserve"> </w:t>
      </w:r>
      <w:r w:rsidRPr="00710CE7">
        <w:rPr>
          <w:rFonts w:ascii="Times New Roman" w:eastAsia="Cambria" w:hAnsi="Times New Roman" w:cs="Times New Roman"/>
          <w:kern w:val="56"/>
        </w:rPr>
        <w:t>Laboratorijas (eksperimentāla) iekārta sa</w:t>
      </w:r>
      <w:r>
        <w:rPr>
          <w:rFonts w:ascii="Times New Roman" w:eastAsia="Cambria" w:hAnsi="Times New Roman" w:cs="Times New Roman"/>
          <w:kern w:val="56"/>
        </w:rPr>
        <w:t>stāv no manometra, digitā</w:t>
      </w:r>
      <w:r w:rsidRPr="00710CE7">
        <w:rPr>
          <w:rFonts w:ascii="Times New Roman" w:eastAsia="Cambria" w:hAnsi="Times New Roman" w:cs="Times New Roman"/>
          <w:kern w:val="56"/>
        </w:rPr>
        <w:t xml:space="preserve">la </w:t>
      </w:r>
      <w:r>
        <w:rPr>
          <w:rFonts w:ascii="Times New Roman" w:eastAsia="Cambria" w:hAnsi="Times New Roman" w:cs="Times New Roman"/>
          <w:kern w:val="56"/>
        </w:rPr>
        <w:t>termometra un mērtrauka ar mainā</w:t>
      </w:r>
      <w:r w:rsidRPr="00710CE7">
        <w:rPr>
          <w:rFonts w:ascii="Times New Roman" w:eastAsia="Cambria" w:hAnsi="Times New Roman" w:cs="Times New Roman"/>
          <w:kern w:val="56"/>
        </w:rPr>
        <w:t xml:space="preserve">mo tilpumu, </w:t>
      </w:r>
      <w:r>
        <w:rPr>
          <w:rFonts w:ascii="Times New Roman" w:eastAsia="Cambria" w:hAnsi="Times New Roman" w:cs="Times New Roman"/>
          <w:kern w:val="56"/>
        </w:rPr>
        <w:t>kas dod iespēju vienlaicīgi mērīt gāzes spiedienu, temperatū</w:t>
      </w:r>
      <w:r w:rsidRPr="00710CE7">
        <w:rPr>
          <w:rFonts w:ascii="Times New Roman" w:eastAsia="Cambria" w:hAnsi="Times New Roman" w:cs="Times New Roman"/>
          <w:kern w:val="56"/>
        </w:rPr>
        <w:t>ru un tilpumu. Rezultātā v</w:t>
      </w:r>
      <w:r>
        <w:rPr>
          <w:rFonts w:ascii="Times New Roman" w:eastAsia="Cambria" w:hAnsi="Times New Roman" w:cs="Times New Roman"/>
          <w:kern w:val="56"/>
        </w:rPr>
        <w:t>ar eksperimentāli novē</w:t>
      </w:r>
      <w:r w:rsidRPr="00710CE7">
        <w:rPr>
          <w:rFonts w:ascii="Times New Roman" w:eastAsia="Cambria" w:hAnsi="Times New Roman" w:cs="Times New Roman"/>
          <w:kern w:val="56"/>
        </w:rPr>
        <w:t>rot sakarības starp gāzes spiedienu, temperatūru un tilpumu</w:t>
      </w:r>
      <w:r>
        <w:rPr>
          <w:rFonts w:ascii="Times New Roman" w:eastAsia="Cambria" w:hAnsi="Times New Roman" w:cs="Times New Roman"/>
          <w:kern w:val="56"/>
        </w:rPr>
        <w:t>, kā arī eksperimentāli pārbaudī</w:t>
      </w:r>
      <w:r w:rsidRPr="00710CE7">
        <w:rPr>
          <w:rFonts w:ascii="Times New Roman" w:eastAsia="Cambria" w:hAnsi="Times New Roman" w:cs="Times New Roman"/>
          <w:kern w:val="56"/>
        </w:rPr>
        <w:t xml:space="preserve">t gāzes stāvokļa vienādojumu. </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14:paraId="15B1554B" w14:textId="77777777" w:rsidTr="00562FF0">
        <w:tc>
          <w:tcPr>
            <w:tcW w:w="625" w:type="dxa"/>
            <w:vAlign w:val="center"/>
          </w:tcPr>
          <w:p w14:paraId="3E748784"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530" w:type="dxa"/>
            <w:vAlign w:val="center"/>
          </w:tcPr>
          <w:p w14:paraId="177FAB72"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14:paraId="17E0FBC0"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14:paraId="2D26A53B"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14:paraId="3E9D8FEA"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14:paraId="3DA6E8C9" w14:textId="77777777"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14:paraId="473D4C9F" w14:textId="77777777"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14:paraId="0BBF1D0C" w14:textId="77777777" w:rsidTr="00562FF0">
        <w:trPr>
          <w:trHeight w:val="170"/>
        </w:trPr>
        <w:tc>
          <w:tcPr>
            <w:tcW w:w="625" w:type="dxa"/>
            <w:vMerge w:val="restart"/>
            <w:vAlign w:val="center"/>
          </w:tcPr>
          <w:p w14:paraId="4F21D671" w14:textId="77777777"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14:paraId="602C8FBB" w14:textId="77777777" w:rsidR="00E559A0" w:rsidRPr="00EC7A33" w:rsidRDefault="00EC7A33" w:rsidP="00CC2A2F">
            <w:pPr>
              <w:rPr>
                <w:rFonts w:ascii="Times New Roman" w:hAnsi="Times New Roman" w:cs="Times New Roman"/>
              </w:rPr>
            </w:pPr>
            <w:r w:rsidRPr="00EC7A33">
              <w:rPr>
                <w:rFonts w:ascii="Times New Roman" w:hAnsi="Times New Roman" w:cs="Times New Roman"/>
                <w:bCs/>
              </w:rPr>
              <w:t>Laboratorijas iekārta gāzes likumu novērošanai</w:t>
            </w:r>
          </w:p>
        </w:tc>
        <w:tc>
          <w:tcPr>
            <w:tcW w:w="2518" w:type="dxa"/>
          </w:tcPr>
          <w:p w14:paraId="2892DB3E" w14:textId="77777777" w:rsidR="00E559A0" w:rsidRPr="000341E1" w:rsidRDefault="00F31C8D"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14:paraId="24F198FD" w14:textId="77777777" w:rsidR="00E559A0" w:rsidRPr="000341E1" w:rsidRDefault="00E559A0" w:rsidP="00F31C8D">
            <w:pPr>
              <w:rPr>
                <w:rFonts w:ascii="Times New Roman" w:eastAsia="Times New Roman" w:hAnsi="Times New Roman" w:cs="Times New Roman"/>
              </w:rPr>
            </w:pPr>
          </w:p>
        </w:tc>
        <w:tc>
          <w:tcPr>
            <w:tcW w:w="1554" w:type="dxa"/>
            <w:vMerge w:val="restart"/>
            <w:vAlign w:val="center"/>
          </w:tcPr>
          <w:p w14:paraId="6386F5FA" w14:textId="75347859" w:rsidR="00E559A0" w:rsidRPr="000341E1" w:rsidRDefault="00151C0B" w:rsidP="00CC2A2F">
            <w:pPr>
              <w:jc w:val="center"/>
              <w:rPr>
                <w:rFonts w:ascii="Times New Roman" w:hAnsi="Times New Roman" w:cs="Times New Roman"/>
              </w:rPr>
            </w:pPr>
            <w:r>
              <w:rPr>
                <w:rFonts w:ascii="Times New Roman" w:hAnsi="Times New Roman" w:cs="Times New Roman"/>
              </w:rPr>
              <w:t>2</w:t>
            </w:r>
          </w:p>
        </w:tc>
        <w:tc>
          <w:tcPr>
            <w:tcW w:w="4656" w:type="dxa"/>
          </w:tcPr>
          <w:p w14:paraId="4B977061" w14:textId="77777777" w:rsidR="00E559A0" w:rsidRPr="000341E1" w:rsidRDefault="00E559A0" w:rsidP="0084424A">
            <w:pPr>
              <w:rPr>
                <w:rFonts w:ascii="Times New Roman" w:hAnsi="Times New Roman" w:cs="Times New Roman"/>
              </w:rPr>
            </w:pPr>
          </w:p>
        </w:tc>
      </w:tr>
      <w:tr w:rsidR="001E7FCF" w:rsidRPr="000341E1" w14:paraId="04A4C0D3" w14:textId="77777777" w:rsidTr="001E7FCF">
        <w:trPr>
          <w:trHeight w:val="222"/>
        </w:trPr>
        <w:tc>
          <w:tcPr>
            <w:tcW w:w="625" w:type="dxa"/>
            <w:vMerge/>
          </w:tcPr>
          <w:p w14:paraId="3DCA06BD" w14:textId="77777777" w:rsidR="001E7FCF" w:rsidRPr="000341E1" w:rsidRDefault="001E7FCF" w:rsidP="0084424A">
            <w:pPr>
              <w:pStyle w:val="NoSpacing"/>
              <w:jc w:val="center"/>
            </w:pPr>
          </w:p>
        </w:tc>
        <w:tc>
          <w:tcPr>
            <w:tcW w:w="1530" w:type="dxa"/>
            <w:vMerge/>
          </w:tcPr>
          <w:p w14:paraId="0A714F0A" w14:textId="77777777" w:rsidR="001E7FCF" w:rsidRPr="000341E1" w:rsidRDefault="001E7FCF" w:rsidP="0084424A">
            <w:pPr>
              <w:rPr>
                <w:rFonts w:ascii="Times New Roman" w:hAnsi="Times New Roman" w:cs="Times New Roman"/>
              </w:rPr>
            </w:pPr>
          </w:p>
        </w:tc>
        <w:tc>
          <w:tcPr>
            <w:tcW w:w="2518" w:type="dxa"/>
          </w:tcPr>
          <w:p w14:paraId="37F1E5F6" w14:textId="77777777" w:rsidR="001E7FCF" w:rsidRPr="00F31C8D" w:rsidRDefault="00F31C8D" w:rsidP="00F31C8D">
            <w:pPr>
              <w:pStyle w:val="ListParagraph"/>
              <w:numPr>
                <w:ilvl w:val="1"/>
                <w:numId w:val="6"/>
              </w:numPr>
              <w:rPr>
                <w:rFonts w:ascii="Times New Roman" w:eastAsia="Times New Roman" w:hAnsi="Times New Roman" w:cs="Times New Roman"/>
              </w:rPr>
            </w:pPr>
            <w:r>
              <w:rPr>
                <w:rFonts w:ascii="Times New Roman" w:hAnsi="Times New Roman" w:cs="Times New Roman"/>
                <w:color w:val="000000" w:themeColor="text1"/>
              </w:rPr>
              <w:t>Manometrs</w:t>
            </w:r>
          </w:p>
        </w:tc>
        <w:tc>
          <w:tcPr>
            <w:tcW w:w="2972" w:type="dxa"/>
          </w:tcPr>
          <w:p w14:paraId="3526513F" w14:textId="77777777" w:rsidR="00151C0B" w:rsidRDefault="00F31C8D" w:rsidP="00CC2A2F">
            <w:pPr>
              <w:contextualSpacing/>
              <w:rPr>
                <w:rFonts w:ascii="Times New Roman" w:eastAsia="Cambria" w:hAnsi="Times New Roman" w:cs="Times New Roman"/>
                <w:kern w:val="56"/>
              </w:rPr>
            </w:pPr>
            <w:r>
              <w:rPr>
                <w:rFonts w:ascii="Times New Roman" w:eastAsia="Cambria" w:hAnsi="Times New Roman" w:cs="Times New Roman"/>
                <w:kern w:val="56"/>
              </w:rPr>
              <w:t xml:space="preserve">Līdz 4 ∙ 105 Pa </w:t>
            </w:r>
          </w:p>
          <w:p w14:paraId="560FD21A" w14:textId="0D0FE08E" w:rsidR="001E7FCF" w:rsidRPr="00EB5F26" w:rsidRDefault="00F31C8D" w:rsidP="00CC2A2F">
            <w:pPr>
              <w:contextualSpacing/>
              <w:rPr>
                <w:rFonts w:ascii="Times New Roman" w:eastAsia="Times New Roman" w:hAnsi="Times New Roman" w:cs="Times New Roman"/>
              </w:rPr>
            </w:pPr>
            <w:r>
              <w:rPr>
                <w:rFonts w:ascii="Times New Roman" w:eastAsia="Cambria" w:hAnsi="Times New Roman" w:cs="Times New Roman"/>
                <w:kern w:val="56"/>
              </w:rPr>
              <w:t>(ar mazāko iedaļu 0,1 ∙ 105 Pa)</w:t>
            </w:r>
          </w:p>
        </w:tc>
        <w:tc>
          <w:tcPr>
            <w:tcW w:w="1554" w:type="dxa"/>
            <w:vMerge/>
          </w:tcPr>
          <w:p w14:paraId="37FC1114" w14:textId="77777777" w:rsidR="001E7FCF" w:rsidRPr="000341E1" w:rsidRDefault="001E7FCF" w:rsidP="0084424A">
            <w:pPr>
              <w:jc w:val="center"/>
              <w:rPr>
                <w:rFonts w:ascii="Times New Roman" w:hAnsi="Times New Roman" w:cs="Times New Roman"/>
              </w:rPr>
            </w:pPr>
          </w:p>
        </w:tc>
        <w:tc>
          <w:tcPr>
            <w:tcW w:w="4656" w:type="dxa"/>
          </w:tcPr>
          <w:p w14:paraId="5C27F9BD" w14:textId="77777777" w:rsidR="001E7FCF" w:rsidRPr="000341E1" w:rsidRDefault="001E7FCF" w:rsidP="0084424A">
            <w:pPr>
              <w:rPr>
                <w:rFonts w:ascii="Times New Roman" w:hAnsi="Times New Roman" w:cs="Times New Roman"/>
              </w:rPr>
            </w:pPr>
          </w:p>
        </w:tc>
      </w:tr>
      <w:tr w:rsidR="00CC2A2F" w:rsidRPr="000341E1" w14:paraId="58E046C3" w14:textId="77777777" w:rsidTr="00562FF0">
        <w:trPr>
          <w:trHeight w:val="170"/>
        </w:trPr>
        <w:tc>
          <w:tcPr>
            <w:tcW w:w="625" w:type="dxa"/>
            <w:vMerge/>
          </w:tcPr>
          <w:p w14:paraId="3F86071D" w14:textId="77777777" w:rsidR="00CC2A2F" w:rsidRPr="000341E1" w:rsidRDefault="00CC2A2F" w:rsidP="00CC2A2F">
            <w:pPr>
              <w:pStyle w:val="NoSpacing"/>
              <w:jc w:val="center"/>
            </w:pPr>
          </w:p>
        </w:tc>
        <w:tc>
          <w:tcPr>
            <w:tcW w:w="1530" w:type="dxa"/>
            <w:vMerge/>
          </w:tcPr>
          <w:p w14:paraId="13CBC0AD" w14:textId="77777777" w:rsidR="00CC2A2F" w:rsidRPr="000341E1" w:rsidRDefault="00CC2A2F" w:rsidP="00CC2A2F">
            <w:pPr>
              <w:rPr>
                <w:rFonts w:ascii="Times New Roman" w:hAnsi="Times New Roman" w:cs="Times New Roman"/>
              </w:rPr>
            </w:pPr>
          </w:p>
        </w:tc>
        <w:tc>
          <w:tcPr>
            <w:tcW w:w="2518" w:type="dxa"/>
          </w:tcPr>
          <w:p w14:paraId="0AAB57DC" w14:textId="77777777" w:rsidR="00CC2A2F" w:rsidRPr="000A469C" w:rsidRDefault="00CC2A2F" w:rsidP="00F6109F">
            <w:pPr>
              <w:rPr>
                <w:rFonts w:ascii="Times New Roman" w:eastAsia="Times New Roman" w:hAnsi="Times New Roman" w:cs="Times New Roman"/>
              </w:rPr>
            </w:pPr>
            <w:r w:rsidRPr="000A469C">
              <w:rPr>
                <w:rFonts w:ascii="Times New Roman" w:eastAsia="Times New Roman" w:hAnsi="Times New Roman" w:cs="Times New Roman"/>
              </w:rPr>
              <w:t xml:space="preserve">1.2. </w:t>
            </w:r>
            <w:r w:rsidR="00F31C8D">
              <w:rPr>
                <w:rFonts w:ascii="Times New Roman" w:eastAsia="Times New Roman" w:hAnsi="Times New Roman" w:cs="Times New Roman"/>
              </w:rPr>
              <w:t>T</w:t>
            </w:r>
            <w:r w:rsidR="00F31C8D" w:rsidRPr="00710CE7">
              <w:rPr>
                <w:rFonts w:ascii="Times New Roman" w:eastAsia="Cambria" w:hAnsi="Times New Roman" w:cs="Times New Roman"/>
                <w:kern w:val="56"/>
              </w:rPr>
              <w:t>ermometrs</w:t>
            </w:r>
          </w:p>
        </w:tc>
        <w:tc>
          <w:tcPr>
            <w:tcW w:w="2972" w:type="dxa"/>
            <w:vAlign w:val="center"/>
          </w:tcPr>
          <w:p w14:paraId="6A565070" w14:textId="77777777" w:rsidR="00CC2A2F" w:rsidRPr="007B4100" w:rsidRDefault="00F31C8D" w:rsidP="007B4100">
            <w:pPr>
              <w:rPr>
                <w:rFonts w:ascii="Times New Roman" w:eastAsia="Times New Roman" w:hAnsi="Times New Roman" w:cs="Times New Roman"/>
              </w:rPr>
            </w:pPr>
            <w:r w:rsidRPr="00710CE7">
              <w:rPr>
                <w:rFonts w:ascii="Times New Roman" w:eastAsia="Cambria" w:hAnsi="Times New Roman" w:cs="Times New Roman"/>
                <w:kern w:val="56"/>
              </w:rPr>
              <w:t>ar precizitāti ±0</w:t>
            </w:r>
            <w:r>
              <w:rPr>
                <w:rFonts w:ascii="Times New Roman" w:eastAsia="Cambria" w:hAnsi="Times New Roman" w:cs="Times New Roman"/>
                <w:kern w:val="56"/>
              </w:rPr>
              <w:t>,1°C</w:t>
            </w:r>
            <w:bookmarkStart w:id="0" w:name="_GoBack"/>
            <w:bookmarkEnd w:id="0"/>
          </w:p>
        </w:tc>
        <w:tc>
          <w:tcPr>
            <w:tcW w:w="1554" w:type="dxa"/>
            <w:vMerge/>
            <w:vAlign w:val="center"/>
          </w:tcPr>
          <w:p w14:paraId="0C58B766" w14:textId="77777777" w:rsidR="00CC2A2F" w:rsidRPr="000341E1" w:rsidRDefault="00CC2A2F" w:rsidP="00CC2A2F">
            <w:pPr>
              <w:jc w:val="center"/>
              <w:rPr>
                <w:rFonts w:ascii="Times New Roman" w:hAnsi="Times New Roman" w:cs="Times New Roman"/>
              </w:rPr>
            </w:pPr>
          </w:p>
        </w:tc>
        <w:tc>
          <w:tcPr>
            <w:tcW w:w="4656" w:type="dxa"/>
          </w:tcPr>
          <w:p w14:paraId="42808E4F" w14:textId="77777777" w:rsidR="00CC2A2F" w:rsidRPr="000341E1" w:rsidRDefault="00CC2A2F" w:rsidP="00CC2A2F">
            <w:pPr>
              <w:rPr>
                <w:rFonts w:ascii="Times New Roman" w:hAnsi="Times New Roman" w:cs="Times New Roman"/>
              </w:rPr>
            </w:pPr>
          </w:p>
        </w:tc>
      </w:tr>
      <w:tr w:rsidR="00F31C8D" w:rsidRPr="000341E1" w14:paraId="76D66746" w14:textId="77777777" w:rsidTr="00F31C8D">
        <w:trPr>
          <w:trHeight w:val="411"/>
        </w:trPr>
        <w:tc>
          <w:tcPr>
            <w:tcW w:w="625" w:type="dxa"/>
            <w:vMerge/>
          </w:tcPr>
          <w:p w14:paraId="2F078D6B" w14:textId="77777777" w:rsidR="00F31C8D" w:rsidRPr="000341E1" w:rsidRDefault="00F31C8D" w:rsidP="00CC2A2F">
            <w:pPr>
              <w:pStyle w:val="NoSpacing"/>
              <w:jc w:val="center"/>
            </w:pPr>
          </w:p>
        </w:tc>
        <w:tc>
          <w:tcPr>
            <w:tcW w:w="1530" w:type="dxa"/>
            <w:vMerge/>
          </w:tcPr>
          <w:p w14:paraId="4FC90EE6" w14:textId="77777777" w:rsidR="00F31C8D" w:rsidRPr="000341E1" w:rsidRDefault="00F31C8D" w:rsidP="00CC2A2F">
            <w:pPr>
              <w:rPr>
                <w:rFonts w:ascii="Times New Roman" w:hAnsi="Times New Roman" w:cs="Times New Roman"/>
              </w:rPr>
            </w:pPr>
          </w:p>
        </w:tc>
        <w:tc>
          <w:tcPr>
            <w:tcW w:w="2518" w:type="dxa"/>
          </w:tcPr>
          <w:p w14:paraId="6F4D5CE7" w14:textId="77777777" w:rsidR="00F31C8D" w:rsidRPr="00545727" w:rsidRDefault="00F31C8D" w:rsidP="00F31C8D">
            <w:pPr>
              <w:rPr>
                <w:rFonts w:ascii="Times New Roman" w:eastAsia="Times New Roman" w:hAnsi="Times New Roman" w:cs="Times New Roman"/>
              </w:rPr>
            </w:pPr>
            <w:r w:rsidRPr="00545727">
              <w:rPr>
                <w:rFonts w:ascii="Times New Roman" w:eastAsia="Times New Roman" w:hAnsi="Times New Roman" w:cs="Times New Roman"/>
              </w:rPr>
              <w:t xml:space="preserve">1.3. </w:t>
            </w:r>
            <w:r>
              <w:rPr>
                <w:rFonts w:ascii="Times New Roman" w:eastAsia="Times New Roman" w:hAnsi="Times New Roman" w:cs="Times New Roman"/>
              </w:rPr>
              <w:t>Mērtrauka tilpums</w:t>
            </w:r>
          </w:p>
        </w:tc>
        <w:tc>
          <w:tcPr>
            <w:tcW w:w="2972" w:type="dxa"/>
          </w:tcPr>
          <w:p w14:paraId="05F1F179" w14:textId="77777777" w:rsidR="00F31C8D" w:rsidRPr="00545727" w:rsidRDefault="00F31C8D" w:rsidP="007B4100">
            <w:pPr>
              <w:rPr>
                <w:rFonts w:ascii="Times New Roman" w:eastAsia="Times New Roman" w:hAnsi="Times New Roman" w:cs="Times New Roman"/>
              </w:rPr>
            </w:pPr>
            <w:r>
              <w:rPr>
                <w:rFonts w:ascii="Times New Roman" w:eastAsia="Times New Roman" w:hAnsi="Times New Roman" w:cs="Times New Roman"/>
              </w:rPr>
              <w:t xml:space="preserve">Līdz </w:t>
            </w:r>
            <w:r w:rsidRPr="00710CE7">
              <w:rPr>
                <w:rFonts w:ascii="Times New Roman" w:eastAsia="Cambria" w:hAnsi="Times New Roman" w:cs="Times New Roman"/>
                <w:kern w:val="56"/>
              </w:rPr>
              <w:t>65 cm</w:t>
            </w:r>
            <w:r w:rsidRPr="00F31C8D">
              <w:rPr>
                <w:rFonts w:ascii="Times New Roman" w:eastAsia="Cambria" w:hAnsi="Times New Roman" w:cs="Times New Roman"/>
                <w:kern w:val="56"/>
                <w:vertAlign w:val="superscript"/>
              </w:rPr>
              <w:t>3</w:t>
            </w:r>
            <w:r w:rsidRPr="00710CE7">
              <w:rPr>
                <w:rFonts w:ascii="Times New Roman" w:eastAsia="Cambria" w:hAnsi="Times New Roman" w:cs="Times New Roman"/>
                <w:kern w:val="56"/>
              </w:rPr>
              <w:t xml:space="preserve"> (ar mazāko iedaļu 1 cm</w:t>
            </w:r>
            <w:r w:rsidRPr="00F31C8D">
              <w:rPr>
                <w:rFonts w:ascii="Times New Roman" w:eastAsia="Cambria" w:hAnsi="Times New Roman" w:cs="Times New Roman"/>
                <w:kern w:val="56"/>
                <w:vertAlign w:val="superscript"/>
              </w:rPr>
              <w:t>3</w:t>
            </w:r>
            <w:r w:rsidRPr="00710CE7">
              <w:rPr>
                <w:rFonts w:ascii="Times New Roman" w:eastAsia="Cambria" w:hAnsi="Times New Roman" w:cs="Times New Roman"/>
                <w:kern w:val="56"/>
              </w:rPr>
              <w:t>)</w:t>
            </w:r>
          </w:p>
        </w:tc>
        <w:tc>
          <w:tcPr>
            <w:tcW w:w="1554" w:type="dxa"/>
            <w:vMerge/>
          </w:tcPr>
          <w:p w14:paraId="2DC963A2" w14:textId="77777777" w:rsidR="00F31C8D" w:rsidRPr="000341E1" w:rsidRDefault="00F31C8D" w:rsidP="00CC2A2F">
            <w:pPr>
              <w:jc w:val="center"/>
              <w:rPr>
                <w:rFonts w:ascii="Times New Roman" w:hAnsi="Times New Roman" w:cs="Times New Roman"/>
              </w:rPr>
            </w:pPr>
          </w:p>
        </w:tc>
        <w:tc>
          <w:tcPr>
            <w:tcW w:w="4656" w:type="dxa"/>
          </w:tcPr>
          <w:p w14:paraId="22000BEE" w14:textId="77777777" w:rsidR="00F31C8D" w:rsidRPr="000341E1" w:rsidRDefault="00F31C8D" w:rsidP="00CC2A2F">
            <w:pPr>
              <w:rPr>
                <w:rFonts w:ascii="Times New Roman" w:hAnsi="Times New Roman" w:cs="Times New Roman"/>
              </w:rPr>
            </w:pPr>
          </w:p>
        </w:tc>
      </w:tr>
    </w:tbl>
    <w:p w14:paraId="1A44E304" w14:textId="77777777" w:rsidR="00E559A0" w:rsidRDefault="00E559A0" w:rsidP="00CD1FE8">
      <w:pPr>
        <w:spacing w:after="0" w:line="240" w:lineRule="auto"/>
        <w:ind w:right="-450"/>
        <w:jc w:val="both"/>
        <w:rPr>
          <w:rFonts w:ascii="Times New Roman" w:eastAsia="Cambria" w:hAnsi="Times New Roman" w:cs="Times New Roman"/>
          <w:b/>
          <w:kern w:val="56"/>
        </w:rPr>
      </w:pPr>
    </w:p>
    <w:p w14:paraId="5FC5CA39" w14:textId="77777777" w:rsidR="00B45EA8" w:rsidRPr="000341E1" w:rsidRDefault="00B45EA8" w:rsidP="00CD1FE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14:paraId="41EBC845"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0D6ED78F"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70505047" w14:textId="77777777" w:rsidR="002F1390"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5424B0FF" w14:textId="77777777" w:rsidR="002F1390"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14:paraId="1EA7148F" w14:textId="77777777" w:rsidR="00B45EA8"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0ACC7756"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610AD95C"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8418452" w14:textId="77777777" w:rsidR="00B45EA8" w:rsidRPr="000341E1" w:rsidRDefault="00B45EA8" w:rsidP="00B45EA8">
      <w:pPr>
        <w:spacing w:after="0" w:line="240" w:lineRule="auto"/>
        <w:jc w:val="both"/>
        <w:rPr>
          <w:rFonts w:ascii="Times New Roman" w:eastAsia="Cambria" w:hAnsi="Times New Roman" w:cs="Times New Roman"/>
          <w:kern w:val="56"/>
        </w:rPr>
      </w:pPr>
    </w:p>
    <w:p w14:paraId="047E3F32"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A4B08F3"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2BA33D6D" w14:textId="77777777"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7C27B9"/>
    <w:multiLevelType w:val="multilevel"/>
    <w:tmpl w:val="4B289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151C0B"/>
    <w:rsid w:val="001E7FCF"/>
    <w:rsid w:val="00210A52"/>
    <w:rsid w:val="002758ED"/>
    <w:rsid w:val="00293355"/>
    <w:rsid w:val="002F1390"/>
    <w:rsid w:val="003077B8"/>
    <w:rsid w:val="003778B0"/>
    <w:rsid w:val="003C5327"/>
    <w:rsid w:val="003F006B"/>
    <w:rsid w:val="00426E78"/>
    <w:rsid w:val="004E0D9C"/>
    <w:rsid w:val="00545727"/>
    <w:rsid w:val="00551D48"/>
    <w:rsid w:val="00560F69"/>
    <w:rsid w:val="00562FF0"/>
    <w:rsid w:val="00694B35"/>
    <w:rsid w:val="00710CE7"/>
    <w:rsid w:val="007B4100"/>
    <w:rsid w:val="00887C4B"/>
    <w:rsid w:val="008B4586"/>
    <w:rsid w:val="00A944C0"/>
    <w:rsid w:val="00AC159E"/>
    <w:rsid w:val="00B45EA8"/>
    <w:rsid w:val="00BF2D49"/>
    <w:rsid w:val="00C2439B"/>
    <w:rsid w:val="00C45255"/>
    <w:rsid w:val="00CC2A2F"/>
    <w:rsid w:val="00CD1FE8"/>
    <w:rsid w:val="00CE43CA"/>
    <w:rsid w:val="00D64AB6"/>
    <w:rsid w:val="00D803DC"/>
    <w:rsid w:val="00DD52AE"/>
    <w:rsid w:val="00E27483"/>
    <w:rsid w:val="00E559A0"/>
    <w:rsid w:val="00E91D1F"/>
    <w:rsid w:val="00EB5F26"/>
    <w:rsid w:val="00EC7A33"/>
    <w:rsid w:val="00F224DF"/>
    <w:rsid w:val="00F31C8D"/>
    <w:rsid w:val="00F6109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957"/>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F31C8D"/>
    <w:rPr>
      <w:sz w:val="16"/>
      <w:szCs w:val="16"/>
    </w:rPr>
  </w:style>
  <w:style w:type="paragraph" w:styleId="CommentText">
    <w:name w:val="annotation text"/>
    <w:basedOn w:val="Normal"/>
    <w:link w:val="CommentTextChar"/>
    <w:uiPriority w:val="99"/>
    <w:semiHidden/>
    <w:unhideWhenUsed/>
    <w:rsid w:val="00F31C8D"/>
    <w:pPr>
      <w:spacing w:line="240" w:lineRule="auto"/>
    </w:pPr>
    <w:rPr>
      <w:sz w:val="20"/>
      <w:szCs w:val="20"/>
    </w:rPr>
  </w:style>
  <w:style w:type="character" w:customStyle="1" w:styleId="CommentTextChar">
    <w:name w:val="Comment Text Char"/>
    <w:basedOn w:val="DefaultParagraphFont"/>
    <w:link w:val="CommentText"/>
    <w:uiPriority w:val="99"/>
    <w:semiHidden/>
    <w:rsid w:val="00F31C8D"/>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F31C8D"/>
    <w:rPr>
      <w:b/>
      <w:bCs/>
    </w:rPr>
  </w:style>
  <w:style w:type="character" w:customStyle="1" w:styleId="CommentSubjectChar">
    <w:name w:val="Comment Subject Char"/>
    <w:basedOn w:val="CommentTextChar"/>
    <w:link w:val="CommentSubject"/>
    <w:uiPriority w:val="99"/>
    <w:semiHidden/>
    <w:rsid w:val="00F31C8D"/>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F3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8D"/>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1989</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24</cp:revision>
  <dcterms:created xsi:type="dcterms:W3CDTF">2018-08-27T08:59:00Z</dcterms:created>
  <dcterms:modified xsi:type="dcterms:W3CDTF">2018-08-28T12:16:00Z</dcterms:modified>
</cp:coreProperties>
</file>