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7C993743"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p>
    <w:p w14:paraId="1C5C9A6A" w14:textId="6BB579B8"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376629">
        <w:rPr>
          <w:rFonts w:ascii="Times New Roman" w:hAnsi="Times New Roman" w:cs="Times New Roman"/>
          <w:sz w:val="20"/>
          <w:szCs w:val="20"/>
        </w:rPr>
        <w:t>60</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15056A43" w14:textId="21523EEA" w:rsidR="001F7617" w:rsidRPr="0051156B" w:rsidRDefault="001F7617" w:rsidP="0051156B">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0F159E" w:rsidRPr="000F159E">
        <w:rPr>
          <w:rFonts w:ascii="Times New Roman" w:eastAsia="Cambria" w:hAnsi="Times New Roman" w:cs="Times New Roman"/>
          <w:b/>
          <w:kern w:val="56"/>
          <w:sz w:val="24"/>
        </w:rPr>
        <w:t xml:space="preserve"> </w:t>
      </w:r>
      <w:r w:rsidR="00376629">
        <w:rPr>
          <w:rFonts w:ascii="Times New Roman" w:eastAsia="Cambria" w:hAnsi="Times New Roman" w:cs="Times New Roman"/>
          <w:b/>
          <w:kern w:val="56"/>
          <w:sz w:val="24"/>
        </w:rPr>
        <w:t>Acu kustību reģistrācijas aparatūras un analīzes programmatūras iegāde</w:t>
      </w:r>
      <w:r w:rsidR="000F159E" w:rsidRPr="000F159E">
        <w:rPr>
          <w:rFonts w:ascii="Times New Roman" w:eastAsia="Cambria" w:hAnsi="Times New Roman" w:cs="Times New Roman"/>
          <w:b/>
          <w:kern w:val="56"/>
          <w:sz w:val="24"/>
        </w:rPr>
        <w:t xml:space="preserve"> STEM studiju programmu modernizēšanai</w:t>
      </w:r>
      <w:r w:rsidRPr="001F7617">
        <w:rPr>
          <w:rFonts w:ascii="Times New Roman" w:eastAsia="Cambria" w:hAnsi="Times New Roman" w:cs="Times New Roman"/>
          <w:b/>
          <w:kern w:val="56"/>
          <w:sz w:val="24"/>
        </w:rPr>
        <w:t xml:space="preserve">”, </w:t>
      </w:r>
      <w:r w:rsidRPr="00196B7A">
        <w:rPr>
          <w:rFonts w:ascii="Times New Roman" w:eastAsia="Cambria" w:hAnsi="Times New Roman" w:cs="Times New Roman"/>
          <w:b/>
          <w:kern w:val="56"/>
          <w:sz w:val="24"/>
        </w:rPr>
        <w:t>ID Nr.: RTU – 2018</w:t>
      </w:r>
      <w:r w:rsidR="000F159E">
        <w:rPr>
          <w:rFonts w:ascii="Times New Roman" w:eastAsia="Cambria" w:hAnsi="Times New Roman" w:cs="Times New Roman"/>
          <w:b/>
          <w:kern w:val="56"/>
          <w:sz w:val="24"/>
        </w:rPr>
        <w:t>/</w:t>
      </w:r>
      <w:r w:rsidR="00376629">
        <w:rPr>
          <w:rFonts w:ascii="Times New Roman" w:eastAsia="Cambria" w:hAnsi="Times New Roman" w:cs="Times New Roman"/>
          <w:b/>
          <w:kern w:val="56"/>
          <w:sz w:val="24"/>
        </w:rPr>
        <w:t>60</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4250"/>
        <w:gridCol w:w="6662"/>
      </w:tblGrid>
      <w:tr w:rsidR="0080251A" w:rsidRPr="00575326" w14:paraId="1F0CACDD" w14:textId="77777777" w:rsidTr="004B0CC4">
        <w:tc>
          <w:tcPr>
            <w:tcW w:w="3825" w:type="dxa"/>
            <w:tcBorders>
              <w:bottom w:val="single" w:sz="4" w:space="0" w:color="auto"/>
            </w:tcBorders>
            <w:shd w:val="clear" w:color="auto" w:fill="BFBFBF"/>
            <w:vAlign w:val="center"/>
          </w:tcPr>
          <w:p w14:paraId="172E0453" w14:textId="77777777" w:rsidR="0080251A" w:rsidRPr="0020533D" w:rsidRDefault="0080251A"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Parametrs</w:t>
            </w:r>
          </w:p>
        </w:tc>
        <w:tc>
          <w:tcPr>
            <w:tcW w:w="4250" w:type="dxa"/>
            <w:tcBorders>
              <w:bottom w:val="single" w:sz="4" w:space="0" w:color="auto"/>
            </w:tcBorders>
            <w:shd w:val="clear" w:color="auto" w:fill="BFBFBF"/>
            <w:vAlign w:val="center"/>
          </w:tcPr>
          <w:p w14:paraId="5B68B06E" w14:textId="4C5B7D30" w:rsidR="0080251A" w:rsidRPr="0020533D" w:rsidRDefault="00376629" w:rsidP="0020533D">
            <w:pPr>
              <w:jc w:val="center"/>
              <w:rPr>
                <w:rFonts w:ascii="Times New Roman" w:eastAsia="Times New Roman" w:hAnsi="Times New Roman" w:cs="Times New Roman"/>
                <w:b/>
              </w:rPr>
            </w:pPr>
            <w:r>
              <w:rPr>
                <w:rFonts w:ascii="Times New Roman" w:eastAsia="Times New Roman" w:hAnsi="Times New Roman" w:cs="Times New Roman"/>
                <w:b/>
              </w:rPr>
              <w:t xml:space="preserve">Parametri/Specifikācija </w:t>
            </w:r>
          </w:p>
        </w:tc>
        <w:tc>
          <w:tcPr>
            <w:tcW w:w="6662" w:type="dxa"/>
            <w:tcBorders>
              <w:bottom w:val="single" w:sz="4" w:space="0" w:color="auto"/>
            </w:tcBorders>
            <w:shd w:val="clear" w:color="auto" w:fill="BFBFBF"/>
          </w:tcPr>
          <w:p w14:paraId="5A45425A" w14:textId="77777777" w:rsidR="0080251A" w:rsidRPr="005D54B9" w:rsidRDefault="0080251A"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80251A" w:rsidRPr="004D35DD" w:rsidRDefault="0080251A"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80251A" w:rsidRPr="00575326" w14:paraId="3587E652" w14:textId="77777777" w:rsidTr="004B0CC4">
        <w:trPr>
          <w:trHeight w:val="401"/>
        </w:trPr>
        <w:tc>
          <w:tcPr>
            <w:tcW w:w="14737" w:type="dxa"/>
            <w:gridSpan w:val="3"/>
            <w:tcBorders>
              <w:top w:val="single" w:sz="4" w:space="0" w:color="auto"/>
              <w:left w:val="single" w:sz="4" w:space="0" w:color="auto"/>
              <w:bottom w:val="single" w:sz="4" w:space="0" w:color="auto"/>
              <w:right w:val="single" w:sz="4" w:space="0" w:color="auto"/>
            </w:tcBorders>
          </w:tcPr>
          <w:p w14:paraId="45D91F05" w14:textId="356F512A" w:rsidR="003B4076" w:rsidRPr="003B4076" w:rsidRDefault="00376629" w:rsidP="003B4076">
            <w:pPr>
              <w:jc w:val="center"/>
              <w:rPr>
                <w:rFonts w:ascii="Times New Roman" w:hAnsi="Times New Roman" w:cs="Times New Roman"/>
                <w:b/>
              </w:rPr>
            </w:pPr>
            <w:r>
              <w:rPr>
                <w:rFonts w:ascii="Times New Roman" w:hAnsi="Times New Roman" w:cs="Times New Roman"/>
                <w:b/>
              </w:rPr>
              <w:t xml:space="preserve">Acu kustību reģistrācijas aparatūras un  </w:t>
            </w:r>
            <w:r>
              <w:rPr>
                <w:rFonts w:ascii="Times New Roman" w:eastAsia="Cambria" w:hAnsi="Times New Roman" w:cs="Times New Roman"/>
                <w:b/>
                <w:kern w:val="56"/>
                <w:sz w:val="24"/>
              </w:rPr>
              <w:t>analīzes programmatūra (1 komplekts)</w:t>
            </w:r>
          </w:p>
        </w:tc>
      </w:tr>
    </w:tbl>
    <w:tbl>
      <w:tblPr>
        <w:tblStyle w:val="TableGrid"/>
        <w:tblW w:w="14737" w:type="dxa"/>
        <w:tblLook w:val="04A0" w:firstRow="1" w:lastRow="0" w:firstColumn="1" w:lastColumn="0" w:noHBand="0" w:noVBand="1"/>
      </w:tblPr>
      <w:tblGrid>
        <w:gridCol w:w="3823"/>
        <w:gridCol w:w="4677"/>
        <w:gridCol w:w="6237"/>
      </w:tblGrid>
      <w:tr w:rsidR="008C4F37" w:rsidRPr="005D5263" w14:paraId="73987372" w14:textId="306A1695" w:rsidTr="0098393A">
        <w:tc>
          <w:tcPr>
            <w:tcW w:w="3823" w:type="dxa"/>
            <w:vMerge w:val="restart"/>
            <w:tcBorders>
              <w:top w:val="single" w:sz="4" w:space="0" w:color="auto"/>
            </w:tcBorders>
          </w:tcPr>
          <w:p w14:paraId="5A084068" w14:textId="77777777" w:rsidR="008C4F37" w:rsidRPr="008C4F37" w:rsidRDefault="008C4F37" w:rsidP="00EB4910">
            <w:pPr>
              <w:rPr>
                <w:rFonts w:ascii="Times New Roman" w:hAnsi="Times New Roman" w:cs="Times New Roman"/>
              </w:rPr>
            </w:pPr>
          </w:p>
          <w:p w14:paraId="2BD3747B" w14:textId="77777777" w:rsidR="008C4F37" w:rsidRPr="008C4F37" w:rsidRDefault="008C4F37" w:rsidP="00EB4910">
            <w:pPr>
              <w:rPr>
                <w:rFonts w:ascii="Times New Roman" w:hAnsi="Times New Roman" w:cs="Times New Roman"/>
              </w:rPr>
            </w:pPr>
          </w:p>
          <w:p w14:paraId="282429AA" w14:textId="4BD35570" w:rsidR="008C4F37" w:rsidRPr="008C4F37" w:rsidRDefault="008C4F37" w:rsidP="00EB4910">
            <w:pPr>
              <w:rPr>
                <w:rFonts w:ascii="Times New Roman" w:hAnsi="Times New Roman" w:cs="Times New Roman"/>
              </w:rPr>
            </w:pPr>
            <w:r w:rsidRPr="008C4F37">
              <w:rPr>
                <w:rFonts w:ascii="Times New Roman" w:hAnsi="Times New Roman" w:cs="Times New Roman"/>
              </w:rPr>
              <w:t>1. Acu kustību reģistrācijas aparatūra</w:t>
            </w:r>
            <w:r w:rsidR="00AB7861">
              <w:rPr>
                <w:rFonts w:ascii="Times New Roman" w:hAnsi="Times New Roman" w:cs="Times New Roman"/>
              </w:rPr>
              <w:t xml:space="preserve"> (modulis)</w:t>
            </w:r>
          </w:p>
        </w:tc>
        <w:tc>
          <w:tcPr>
            <w:tcW w:w="4677" w:type="dxa"/>
            <w:tcBorders>
              <w:top w:val="single" w:sz="4" w:space="0" w:color="auto"/>
            </w:tcBorders>
          </w:tcPr>
          <w:p w14:paraId="0E5F2844" w14:textId="48498F0D" w:rsidR="008C4F37" w:rsidRPr="008C4F37" w:rsidRDefault="008C4F37" w:rsidP="00EB4910">
            <w:pPr>
              <w:rPr>
                <w:rFonts w:ascii="Times New Roman" w:hAnsi="Times New Roman" w:cs="Times New Roman"/>
              </w:rPr>
            </w:pPr>
            <w:r w:rsidRPr="008C4F37">
              <w:rPr>
                <w:rFonts w:ascii="Times New Roman" w:hAnsi="Times New Roman" w:cs="Times New Roman"/>
              </w:rPr>
              <w:t xml:space="preserve">Vismaz 0.5 grādu redzes </w:t>
            </w:r>
            <w:r w:rsidR="0098393A" w:rsidRPr="008C4F37">
              <w:rPr>
                <w:rFonts w:ascii="Times New Roman" w:hAnsi="Times New Roman" w:cs="Times New Roman"/>
              </w:rPr>
              <w:t>leņķa</w:t>
            </w:r>
            <w:r w:rsidRPr="008C4F37">
              <w:rPr>
                <w:rFonts w:ascii="Times New Roman" w:hAnsi="Times New Roman" w:cs="Times New Roman"/>
              </w:rPr>
              <w:t xml:space="preserve"> precizitāte</w:t>
            </w:r>
          </w:p>
        </w:tc>
        <w:tc>
          <w:tcPr>
            <w:tcW w:w="6237" w:type="dxa"/>
            <w:tcBorders>
              <w:top w:val="single" w:sz="4" w:space="0" w:color="auto"/>
            </w:tcBorders>
          </w:tcPr>
          <w:p w14:paraId="1E179108" w14:textId="77777777" w:rsidR="008C4F37" w:rsidRPr="008C4F37" w:rsidRDefault="008C4F37" w:rsidP="00EB4910">
            <w:pPr>
              <w:rPr>
                <w:rFonts w:ascii="Times New Roman" w:hAnsi="Times New Roman" w:cs="Times New Roman"/>
              </w:rPr>
            </w:pPr>
          </w:p>
        </w:tc>
      </w:tr>
      <w:tr w:rsidR="008C4F37" w:rsidRPr="005D5263" w14:paraId="3E828C0A" w14:textId="6F44B9DC" w:rsidTr="0098393A">
        <w:tc>
          <w:tcPr>
            <w:tcW w:w="3823" w:type="dxa"/>
            <w:vMerge/>
          </w:tcPr>
          <w:p w14:paraId="3A91C5D7" w14:textId="6AB63D37" w:rsidR="008C4F37" w:rsidRPr="008C4F37" w:rsidRDefault="008C4F37" w:rsidP="00EB4910">
            <w:pPr>
              <w:rPr>
                <w:rFonts w:ascii="Times New Roman" w:hAnsi="Times New Roman" w:cs="Times New Roman"/>
              </w:rPr>
            </w:pPr>
          </w:p>
        </w:tc>
        <w:tc>
          <w:tcPr>
            <w:tcW w:w="4677" w:type="dxa"/>
          </w:tcPr>
          <w:p w14:paraId="055F9277" w14:textId="69F87760" w:rsidR="008C4F37" w:rsidRPr="008C4F37" w:rsidRDefault="008C4F37" w:rsidP="005D5263">
            <w:pPr>
              <w:rPr>
                <w:rFonts w:ascii="Times New Roman" w:hAnsi="Times New Roman" w:cs="Times New Roman"/>
              </w:rPr>
            </w:pPr>
            <w:r w:rsidRPr="008C4F37">
              <w:rPr>
                <w:rFonts w:ascii="Times New Roman" w:hAnsi="Times New Roman" w:cs="Times New Roman"/>
              </w:rPr>
              <w:t>Vismaz 120Hz uztveršanas frekvence</w:t>
            </w:r>
          </w:p>
        </w:tc>
        <w:tc>
          <w:tcPr>
            <w:tcW w:w="6237" w:type="dxa"/>
          </w:tcPr>
          <w:p w14:paraId="3899FD14" w14:textId="77777777" w:rsidR="008C4F37" w:rsidRPr="008C4F37" w:rsidRDefault="008C4F37" w:rsidP="00EB4910">
            <w:pPr>
              <w:rPr>
                <w:rFonts w:ascii="Times New Roman" w:hAnsi="Times New Roman" w:cs="Times New Roman"/>
              </w:rPr>
            </w:pPr>
          </w:p>
        </w:tc>
      </w:tr>
      <w:tr w:rsidR="008C4F37" w:rsidRPr="005D5263" w14:paraId="52FE9F17" w14:textId="69BDE8CE" w:rsidTr="0098393A">
        <w:tc>
          <w:tcPr>
            <w:tcW w:w="3823" w:type="dxa"/>
            <w:vMerge/>
          </w:tcPr>
          <w:p w14:paraId="314326F0" w14:textId="20E5F16C" w:rsidR="008C4F37" w:rsidRPr="008C4F37" w:rsidRDefault="008C4F37" w:rsidP="00EB4910">
            <w:pPr>
              <w:rPr>
                <w:rFonts w:ascii="Times New Roman" w:hAnsi="Times New Roman" w:cs="Times New Roman"/>
              </w:rPr>
            </w:pPr>
          </w:p>
        </w:tc>
        <w:tc>
          <w:tcPr>
            <w:tcW w:w="4677" w:type="dxa"/>
          </w:tcPr>
          <w:p w14:paraId="78398DB7" w14:textId="43BEF53E" w:rsidR="008C4F37" w:rsidRPr="008C4F37" w:rsidRDefault="008C4F37" w:rsidP="005D5263">
            <w:pPr>
              <w:rPr>
                <w:rFonts w:ascii="Times New Roman" w:hAnsi="Times New Roman" w:cs="Times New Roman"/>
              </w:rPr>
            </w:pPr>
            <w:r w:rsidRPr="008C4F37">
              <w:rPr>
                <w:rFonts w:ascii="Times New Roman" w:hAnsi="Times New Roman" w:cs="Times New Roman"/>
              </w:rPr>
              <w:t xml:space="preserve">Kalibrācija līdz 9 punktiem un vairāk </w:t>
            </w:r>
          </w:p>
        </w:tc>
        <w:tc>
          <w:tcPr>
            <w:tcW w:w="6237" w:type="dxa"/>
          </w:tcPr>
          <w:p w14:paraId="2E5A503D" w14:textId="77777777" w:rsidR="008C4F37" w:rsidRPr="008C4F37" w:rsidRDefault="008C4F37" w:rsidP="00EB4910">
            <w:pPr>
              <w:rPr>
                <w:rFonts w:ascii="Times New Roman" w:hAnsi="Times New Roman" w:cs="Times New Roman"/>
              </w:rPr>
            </w:pPr>
          </w:p>
        </w:tc>
      </w:tr>
      <w:tr w:rsidR="008C4F37" w:rsidRPr="005D5263" w14:paraId="75DF0810" w14:textId="4FDA5809" w:rsidTr="0098393A">
        <w:tc>
          <w:tcPr>
            <w:tcW w:w="3823" w:type="dxa"/>
            <w:vMerge/>
          </w:tcPr>
          <w:p w14:paraId="0D2A07B5" w14:textId="1303F5E4" w:rsidR="008C4F37" w:rsidRPr="008C4F37" w:rsidRDefault="008C4F37" w:rsidP="00EB4910">
            <w:pPr>
              <w:rPr>
                <w:rFonts w:ascii="Times New Roman" w:hAnsi="Times New Roman" w:cs="Times New Roman"/>
              </w:rPr>
            </w:pPr>
          </w:p>
        </w:tc>
        <w:tc>
          <w:tcPr>
            <w:tcW w:w="4677" w:type="dxa"/>
          </w:tcPr>
          <w:p w14:paraId="20764FC5" w14:textId="0E31A0E6" w:rsidR="008C4F37" w:rsidRPr="008C4F37" w:rsidRDefault="008C4F37" w:rsidP="005D5263">
            <w:pPr>
              <w:jc w:val="both"/>
              <w:rPr>
                <w:rFonts w:ascii="Times New Roman" w:hAnsi="Times New Roman" w:cs="Times New Roman"/>
              </w:rPr>
            </w:pPr>
            <w:r w:rsidRPr="008C4F37">
              <w:rPr>
                <w:rFonts w:ascii="Times New Roman" w:hAnsi="Times New Roman" w:cs="Times New Roman"/>
              </w:rPr>
              <w:t>Atvērtā standarta API pieejamība</w:t>
            </w:r>
          </w:p>
        </w:tc>
        <w:tc>
          <w:tcPr>
            <w:tcW w:w="6237" w:type="dxa"/>
          </w:tcPr>
          <w:p w14:paraId="778EA97B" w14:textId="77777777" w:rsidR="008C4F37" w:rsidRPr="008C4F37" w:rsidRDefault="008C4F37" w:rsidP="00EB4910">
            <w:pPr>
              <w:rPr>
                <w:rFonts w:ascii="Times New Roman" w:hAnsi="Times New Roman" w:cs="Times New Roman"/>
              </w:rPr>
            </w:pPr>
          </w:p>
        </w:tc>
      </w:tr>
      <w:tr w:rsidR="008C4F37" w:rsidRPr="005D5263" w14:paraId="31F44E33" w14:textId="1ABF257D" w:rsidTr="0098393A">
        <w:tc>
          <w:tcPr>
            <w:tcW w:w="3823" w:type="dxa"/>
            <w:vMerge/>
          </w:tcPr>
          <w:p w14:paraId="0845434E" w14:textId="50286A4D" w:rsidR="008C4F37" w:rsidRPr="008C4F37" w:rsidRDefault="008C4F37" w:rsidP="00EB4910">
            <w:pPr>
              <w:rPr>
                <w:rFonts w:ascii="Times New Roman" w:hAnsi="Times New Roman" w:cs="Times New Roman"/>
              </w:rPr>
            </w:pPr>
          </w:p>
        </w:tc>
        <w:tc>
          <w:tcPr>
            <w:tcW w:w="4677" w:type="dxa"/>
          </w:tcPr>
          <w:p w14:paraId="4A2614AF" w14:textId="170F17ED" w:rsidR="008C4F37" w:rsidRPr="008C4F37" w:rsidRDefault="008C4F37" w:rsidP="00EB4910">
            <w:pPr>
              <w:rPr>
                <w:rFonts w:ascii="Times New Roman" w:hAnsi="Times New Roman" w:cs="Times New Roman"/>
              </w:rPr>
            </w:pPr>
            <w:r w:rsidRPr="008C4F37">
              <w:rPr>
                <w:rFonts w:ascii="Times New Roman" w:hAnsi="Times New Roman" w:cs="Times New Roman"/>
              </w:rPr>
              <w:t>Vismaz 30 cm horizontāli un 20 cm vertikāli pieļaujamais galvas kustības diapazons</w:t>
            </w:r>
          </w:p>
        </w:tc>
        <w:tc>
          <w:tcPr>
            <w:tcW w:w="6237" w:type="dxa"/>
          </w:tcPr>
          <w:p w14:paraId="65CA1ED6" w14:textId="77777777" w:rsidR="008C4F37" w:rsidRPr="008C4F37" w:rsidRDefault="008C4F37" w:rsidP="00EB4910">
            <w:pPr>
              <w:rPr>
                <w:rFonts w:ascii="Times New Roman" w:hAnsi="Times New Roman" w:cs="Times New Roman"/>
              </w:rPr>
            </w:pPr>
          </w:p>
        </w:tc>
      </w:tr>
      <w:tr w:rsidR="008C4F37" w:rsidRPr="005D5263" w14:paraId="6107B6A7" w14:textId="77777777" w:rsidTr="0098393A">
        <w:tc>
          <w:tcPr>
            <w:tcW w:w="3823" w:type="dxa"/>
            <w:vMerge/>
          </w:tcPr>
          <w:p w14:paraId="34B00B4F" w14:textId="77777777" w:rsidR="008C4F37" w:rsidRPr="008C4F37" w:rsidRDefault="008C4F37" w:rsidP="00EB4910">
            <w:pPr>
              <w:rPr>
                <w:rFonts w:ascii="Times New Roman" w:hAnsi="Times New Roman" w:cs="Times New Roman"/>
              </w:rPr>
            </w:pPr>
          </w:p>
        </w:tc>
        <w:tc>
          <w:tcPr>
            <w:tcW w:w="4677" w:type="dxa"/>
          </w:tcPr>
          <w:p w14:paraId="60AE9C0E" w14:textId="7A63C831" w:rsidR="008C4F37" w:rsidRPr="008C4F37" w:rsidRDefault="008C4F37" w:rsidP="00EB4910">
            <w:pPr>
              <w:rPr>
                <w:rFonts w:ascii="Times New Roman" w:hAnsi="Times New Roman" w:cs="Times New Roman"/>
              </w:rPr>
            </w:pPr>
            <w:r w:rsidRPr="008C4F37">
              <w:rPr>
                <w:rFonts w:ascii="Times New Roman" w:hAnsi="Times New Roman" w:cs="Times New Roman"/>
              </w:rPr>
              <w:t>Vismaz +/- 15 cm dziļuma kustības diapazons</w:t>
            </w:r>
          </w:p>
        </w:tc>
        <w:tc>
          <w:tcPr>
            <w:tcW w:w="6237" w:type="dxa"/>
          </w:tcPr>
          <w:p w14:paraId="25A5B46E" w14:textId="77777777" w:rsidR="008C4F37" w:rsidRPr="008C4F37" w:rsidRDefault="008C4F37" w:rsidP="00EB4910">
            <w:pPr>
              <w:rPr>
                <w:rFonts w:ascii="Times New Roman" w:hAnsi="Times New Roman" w:cs="Times New Roman"/>
              </w:rPr>
            </w:pPr>
          </w:p>
        </w:tc>
      </w:tr>
      <w:tr w:rsidR="008C4F37" w:rsidRPr="005D5263" w14:paraId="4CF61A4A" w14:textId="77777777" w:rsidTr="0098393A">
        <w:tc>
          <w:tcPr>
            <w:tcW w:w="3823" w:type="dxa"/>
            <w:vMerge/>
          </w:tcPr>
          <w:p w14:paraId="3E280D73" w14:textId="4DB617D3" w:rsidR="008C4F37" w:rsidRPr="008C4F37" w:rsidRDefault="008C4F37" w:rsidP="00EB4910">
            <w:pPr>
              <w:rPr>
                <w:rFonts w:ascii="Times New Roman" w:hAnsi="Times New Roman" w:cs="Times New Roman"/>
              </w:rPr>
            </w:pPr>
          </w:p>
        </w:tc>
        <w:tc>
          <w:tcPr>
            <w:tcW w:w="4677" w:type="dxa"/>
          </w:tcPr>
          <w:p w14:paraId="2198D48A" w14:textId="6CB6D8FF" w:rsidR="008C4F37" w:rsidRPr="008C4F37" w:rsidRDefault="008C4F37" w:rsidP="00EB4910">
            <w:pPr>
              <w:rPr>
                <w:rFonts w:ascii="Times New Roman" w:hAnsi="Times New Roman" w:cs="Times New Roman"/>
              </w:rPr>
            </w:pPr>
            <w:r w:rsidRPr="008C4F37">
              <w:rPr>
                <w:rFonts w:ascii="Times New Roman" w:hAnsi="Times New Roman" w:cs="Times New Roman"/>
              </w:rPr>
              <w:t>Svars ne vairāk kā 1,5 kg</w:t>
            </w:r>
          </w:p>
        </w:tc>
        <w:tc>
          <w:tcPr>
            <w:tcW w:w="6237" w:type="dxa"/>
          </w:tcPr>
          <w:p w14:paraId="7F1E6ADA" w14:textId="77777777" w:rsidR="008C4F37" w:rsidRPr="008C4F37" w:rsidRDefault="008C4F37" w:rsidP="00EB4910">
            <w:pPr>
              <w:rPr>
                <w:rFonts w:ascii="Times New Roman" w:hAnsi="Times New Roman" w:cs="Times New Roman"/>
              </w:rPr>
            </w:pPr>
          </w:p>
        </w:tc>
      </w:tr>
      <w:tr w:rsidR="008C4F37" w:rsidRPr="005D5263" w14:paraId="469B3C5F" w14:textId="77777777" w:rsidTr="0098393A">
        <w:tc>
          <w:tcPr>
            <w:tcW w:w="3823" w:type="dxa"/>
            <w:vMerge/>
          </w:tcPr>
          <w:p w14:paraId="71CF0956" w14:textId="77777777" w:rsidR="008C4F37" w:rsidRPr="008C4F37" w:rsidRDefault="008C4F37" w:rsidP="00EB4910">
            <w:pPr>
              <w:rPr>
                <w:rFonts w:ascii="Times New Roman" w:hAnsi="Times New Roman" w:cs="Times New Roman"/>
              </w:rPr>
            </w:pPr>
          </w:p>
        </w:tc>
        <w:tc>
          <w:tcPr>
            <w:tcW w:w="4677" w:type="dxa"/>
          </w:tcPr>
          <w:p w14:paraId="2EA61AA9" w14:textId="4FE6E5D7" w:rsidR="008C4F37" w:rsidRPr="008C4F37" w:rsidRDefault="008C4F37" w:rsidP="00EB4910">
            <w:pPr>
              <w:rPr>
                <w:rFonts w:ascii="Times New Roman" w:hAnsi="Times New Roman" w:cs="Times New Roman"/>
              </w:rPr>
            </w:pPr>
            <w:r>
              <w:rPr>
                <w:rFonts w:ascii="Times New Roman" w:hAnsi="Times New Roman" w:cs="Times New Roman"/>
              </w:rPr>
              <w:t xml:space="preserve">Savietojams ar 24 collu monitoru vai lielāku </w:t>
            </w:r>
          </w:p>
        </w:tc>
        <w:tc>
          <w:tcPr>
            <w:tcW w:w="6237" w:type="dxa"/>
          </w:tcPr>
          <w:p w14:paraId="355986F5" w14:textId="77777777" w:rsidR="008C4F37" w:rsidRPr="008C4F37" w:rsidRDefault="008C4F37" w:rsidP="00EB4910">
            <w:pPr>
              <w:rPr>
                <w:rFonts w:ascii="Times New Roman" w:hAnsi="Times New Roman" w:cs="Times New Roman"/>
              </w:rPr>
            </w:pPr>
          </w:p>
        </w:tc>
      </w:tr>
      <w:tr w:rsidR="008C4F37" w:rsidRPr="005D5263" w14:paraId="625B8622" w14:textId="77777777" w:rsidTr="0098393A">
        <w:tc>
          <w:tcPr>
            <w:tcW w:w="3823" w:type="dxa"/>
            <w:vMerge/>
          </w:tcPr>
          <w:p w14:paraId="13222500" w14:textId="77777777" w:rsidR="008C4F37" w:rsidRPr="008C4F37" w:rsidRDefault="008C4F37" w:rsidP="00EB4910">
            <w:pPr>
              <w:rPr>
                <w:rFonts w:ascii="Times New Roman" w:hAnsi="Times New Roman" w:cs="Times New Roman"/>
              </w:rPr>
            </w:pPr>
          </w:p>
        </w:tc>
        <w:tc>
          <w:tcPr>
            <w:tcW w:w="4677" w:type="dxa"/>
          </w:tcPr>
          <w:p w14:paraId="1FF22A53" w14:textId="596B054C" w:rsidR="008C4F37" w:rsidRDefault="008C4F37" w:rsidP="00EB4910">
            <w:pPr>
              <w:rPr>
                <w:rFonts w:ascii="Times New Roman" w:hAnsi="Times New Roman" w:cs="Times New Roman"/>
              </w:rPr>
            </w:pPr>
            <w:r>
              <w:rPr>
                <w:rFonts w:ascii="Times New Roman" w:hAnsi="Times New Roman" w:cs="Times New Roman"/>
              </w:rPr>
              <w:t>Statīvs vai cita veida nostiprinošais elements</w:t>
            </w:r>
          </w:p>
        </w:tc>
        <w:tc>
          <w:tcPr>
            <w:tcW w:w="6237" w:type="dxa"/>
          </w:tcPr>
          <w:p w14:paraId="284E63E8" w14:textId="77777777" w:rsidR="008C4F37" w:rsidRPr="008C4F37" w:rsidRDefault="008C4F37" w:rsidP="00EB4910">
            <w:pPr>
              <w:rPr>
                <w:rFonts w:ascii="Times New Roman" w:hAnsi="Times New Roman" w:cs="Times New Roman"/>
              </w:rPr>
            </w:pPr>
          </w:p>
        </w:tc>
      </w:tr>
      <w:tr w:rsidR="008C4F37" w:rsidRPr="005D5263" w14:paraId="5CFEB57B" w14:textId="77777777" w:rsidTr="0098393A">
        <w:tc>
          <w:tcPr>
            <w:tcW w:w="3823" w:type="dxa"/>
            <w:vMerge/>
          </w:tcPr>
          <w:p w14:paraId="76FE9E4A" w14:textId="77777777" w:rsidR="008C4F37" w:rsidRPr="008C4F37" w:rsidRDefault="008C4F37" w:rsidP="00EB4910">
            <w:pPr>
              <w:rPr>
                <w:rFonts w:ascii="Times New Roman" w:hAnsi="Times New Roman" w:cs="Times New Roman"/>
              </w:rPr>
            </w:pPr>
          </w:p>
        </w:tc>
        <w:tc>
          <w:tcPr>
            <w:tcW w:w="4677" w:type="dxa"/>
          </w:tcPr>
          <w:p w14:paraId="210B8674" w14:textId="086368F4" w:rsidR="008C4F37" w:rsidRDefault="008C4F37" w:rsidP="00EB4910">
            <w:pPr>
              <w:rPr>
                <w:rFonts w:ascii="Times New Roman" w:hAnsi="Times New Roman" w:cs="Times New Roman"/>
              </w:rPr>
            </w:pPr>
            <w:r>
              <w:rPr>
                <w:rFonts w:ascii="Times New Roman" w:hAnsi="Times New Roman" w:cs="Times New Roman"/>
              </w:rPr>
              <w:t>Pieslēgums datoram, izmantojot USB vadu</w:t>
            </w:r>
            <w:bookmarkStart w:id="0" w:name="_GoBack"/>
            <w:bookmarkEnd w:id="0"/>
            <w:r w:rsidR="0098393A">
              <w:rPr>
                <w:rFonts w:ascii="Times New Roman" w:hAnsi="Times New Roman" w:cs="Times New Roman"/>
              </w:rPr>
              <w:t xml:space="preserve"> </w:t>
            </w:r>
          </w:p>
        </w:tc>
        <w:tc>
          <w:tcPr>
            <w:tcW w:w="6237" w:type="dxa"/>
          </w:tcPr>
          <w:p w14:paraId="5231D67F" w14:textId="77777777" w:rsidR="008C4F37" w:rsidRPr="008C4F37" w:rsidRDefault="008C4F37" w:rsidP="00EB4910">
            <w:pPr>
              <w:rPr>
                <w:rFonts w:ascii="Times New Roman" w:hAnsi="Times New Roman" w:cs="Times New Roman"/>
              </w:rPr>
            </w:pPr>
          </w:p>
        </w:tc>
      </w:tr>
      <w:tr w:rsidR="008C4F37" w:rsidRPr="005D5263" w14:paraId="78381DC7" w14:textId="77777777" w:rsidTr="0098393A">
        <w:tc>
          <w:tcPr>
            <w:tcW w:w="3823" w:type="dxa"/>
            <w:vMerge/>
          </w:tcPr>
          <w:p w14:paraId="4CFBFD6D" w14:textId="77777777" w:rsidR="008C4F37" w:rsidRPr="008C4F37" w:rsidRDefault="008C4F37" w:rsidP="00EB4910">
            <w:pPr>
              <w:rPr>
                <w:rFonts w:ascii="Times New Roman" w:hAnsi="Times New Roman" w:cs="Times New Roman"/>
              </w:rPr>
            </w:pPr>
          </w:p>
        </w:tc>
        <w:tc>
          <w:tcPr>
            <w:tcW w:w="4677" w:type="dxa"/>
          </w:tcPr>
          <w:p w14:paraId="7A362851" w14:textId="54A23F93" w:rsidR="008C4F37" w:rsidRPr="008C4F37" w:rsidRDefault="008C4F37" w:rsidP="00EB4910">
            <w:pPr>
              <w:rPr>
                <w:rFonts w:ascii="Times New Roman" w:hAnsi="Times New Roman" w:cs="Times New Roman"/>
              </w:rPr>
            </w:pPr>
            <w:r>
              <w:rPr>
                <w:rFonts w:ascii="Times New Roman" w:hAnsi="Times New Roman" w:cs="Times New Roman"/>
              </w:rPr>
              <w:t>Lietojums arī tad, ja lietotājam ir kontaktlēcas vai brilles</w:t>
            </w:r>
          </w:p>
        </w:tc>
        <w:tc>
          <w:tcPr>
            <w:tcW w:w="6237" w:type="dxa"/>
          </w:tcPr>
          <w:p w14:paraId="0AB5B6F2" w14:textId="77777777" w:rsidR="008C4F37" w:rsidRPr="008C4F37" w:rsidRDefault="008C4F37" w:rsidP="00EB4910">
            <w:pPr>
              <w:rPr>
                <w:rFonts w:ascii="Times New Roman" w:hAnsi="Times New Roman" w:cs="Times New Roman"/>
              </w:rPr>
            </w:pPr>
          </w:p>
        </w:tc>
      </w:tr>
      <w:tr w:rsidR="008C4F37" w:rsidRPr="005D5263" w14:paraId="21968468" w14:textId="77777777" w:rsidTr="0098393A">
        <w:tc>
          <w:tcPr>
            <w:tcW w:w="3823" w:type="dxa"/>
            <w:vMerge/>
          </w:tcPr>
          <w:p w14:paraId="268441EB" w14:textId="77777777" w:rsidR="008C4F37" w:rsidRPr="008C4F37" w:rsidRDefault="008C4F37" w:rsidP="00EB4910">
            <w:pPr>
              <w:rPr>
                <w:rFonts w:ascii="Times New Roman" w:hAnsi="Times New Roman" w:cs="Times New Roman"/>
              </w:rPr>
            </w:pPr>
          </w:p>
        </w:tc>
        <w:tc>
          <w:tcPr>
            <w:tcW w:w="4677" w:type="dxa"/>
          </w:tcPr>
          <w:p w14:paraId="3AE19795" w14:textId="201D9286" w:rsidR="008C4F37" w:rsidRDefault="008C4F37" w:rsidP="00EB4910">
            <w:pPr>
              <w:rPr>
                <w:rFonts w:ascii="Times New Roman" w:hAnsi="Times New Roman" w:cs="Times New Roman"/>
              </w:rPr>
            </w:pPr>
            <w:r>
              <w:rPr>
                <w:rFonts w:ascii="Times New Roman" w:hAnsi="Times New Roman" w:cs="Times New Roman"/>
              </w:rPr>
              <w:t>Acu sekošanas aparatūrai ir jābūt paredzētai pētījumu veikšanai</w:t>
            </w:r>
          </w:p>
        </w:tc>
        <w:tc>
          <w:tcPr>
            <w:tcW w:w="6237" w:type="dxa"/>
          </w:tcPr>
          <w:p w14:paraId="7B8111D8" w14:textId="77777777" w:rsidR="008C4F37" w:rsidRPr="008C4F37" w:rsidRDefault="008C4F37" w:rsidP="00EB4910">
            <w:pPr>
              <w:rPr>
                <w:rFonts w:ascii="Times New Roman" w:hAnsi="Times New Roman" w:cs="Times New Roman"/>
              </w:rPr>
            </w:pPr>
          </w:p>
        </w:tc>
      </w:tr>
      <w:tr w:rsidR="008C4F37" w:rsidRPr="005D5263" w14:paraId="2A4D8A0C" w14:textId="77777777" w:rsidTr="0098393A">
        <w:tc>
          <w:tcPr>
            <w:tcW w:w="3823" w:type="dxa"/>
          </w:tcPr>
          <w:p w14:paraId="17C86DCB" w14:textId="77777777" w:rsidR="008C4F37" w:rsidRPr="008C4F37" w:rsidRDefault="008C4F37" w:rsidP="00EB4910">
            <w:pPr>
              <w:rPr>
                <w:rFonts w:ascii="Times New Roman" w:hAnsi="Times New Roman" w:cs="Times New Roman"/>
              </w:rPr>
            </w:pPr>
          </w:p>
        </w:tc>
        <w:tc>
          <w:tcPr>
            <w:tcW w:w="4677" w:type="dxa"/>
          </w:tcPr>
          <w:p w14:paraId="7F28CE8C" w14:textId="72D4AB94" w:rsidR="008C4F37" w:rsidRDefault="00AB7861" w:rsidP="00EB4910">
            <w:pPr>
              <w:rPr>
                <w:rFonts w:ascii="Times New Roman" w:hAnsi="Times New Roman" w:cs="Times New Roman"/>
              </w:rPr>
            </w:pPr>
            <w:r>
              <w:rPr>
                <w:rFonts w:ascii="Times New Roman" w:hAnsi="Times New Roman" w:cs="Times New Roman"/>
              </w:rPr>
              <w:t>Savietojams ar Windows operētājsistēmu</w:t>
            </w:r>
            <w:r w:rsidR="0098393A">
              <w:rPr>
                <w:rFonts w:ascii="Times New Roman" w:hAnsi="Times New Roman" w:cs="Times New Roman"/>
              </w:rPr>
              <w:t xml:space="preserve"> </w:t>
            </w:r>
          </w:p>
        </w:tc>
        <w:tc>
          <w:tcPr>
            <w:tcW w:w="6237" w:type="dxa"/>
          </w:tcPr>
          <w:p w14:paraId="5B88CDD7" w14:textId="77777777" w:rsidR="008C4F37" w:rsidRPr="008C4F37" w:rsidRDefault="008C4F37" w:rsidP="00EB4910">
            <w:pPr>
              <w:rPr>
                <w:rFonts w:ascii="Times New Roman" w:hAnsi="Times New Roman" w:cs="Times New Roman"/>
              </w:rPr>
            </w:pPr>
          </w:p>
        </w:tc>
      </w:tr>
      <w:tr w:rsidR="0051156B" w:rsidRPr="005D5263" w14:paraId="2FB0FEDC" w14:textId="77777777" w:rsidTr="0098393A">
        <w:tc>
          <w:tcPr>
            <w:tcW w:w="3823" w:type="dxa"/>
          </w:tcPr>
          <w:p w14:paraId="0A492BE7" w14:textId="77777777" w:rsidR="0051156B" w:rsidRPr="008C4F37" w:rsidRDefault="0051156B" w:rsidP="00EB4910">
            <w:pPr>
              <w:rPr>
                <w:rFonts w:ascii="Times New Roman" w:hAnsi="Times New Roman" w:cs="Times New Roman"/>
              </w:rPr>
            </w:pPr>
          </w:p>
        </w:tc>
        <w:tc>
          <w:tcPr>
            <w:tcW w:w="4677" w:type="dxa"/>
          </w:tcPr>
          <w:p w14:paraId="342603CD" w14:textId="16EB0179" w:rsidR="0051156B" w:rsidRDefault="0051156B" w:rsidP="00EB4910">
            <w:pPr>
              <w:rPr>
                <w:rFonts w:ascii="Times New Roman" w:hAnsi="Times New Roman" w:cs="Times New Roman"/>
              </w:rPr>
            </w:pPr>
            <w:r>
              <w:rPr>
                <w:rFonts w:ascii="Times New Roman" w:hAnsi="Times New Roman" w:cs="Times New Roman"/>
              </w:rPr>
              <w:t>Iekārtas garantija un atbalsts vismaz 12 mēneši no tās iegādes brīža</w:t>
            </w:r>
          </w:p>
        </w:tc>
        <w:tc>
          <w:tcPr>
            <w:tcW w:w="6237" w:type="dxa"/>
          </w:tcPr>
          <w:p w14:paraId="316CA2DE" w14:textId="77777777" w:rsidR="0051156B" w:rsidRPr="008C4F37" w:rsidRDefault="0051156B" w:rsidP="00EB4910">
            <w:pPr>
              <w:rPr>
                <w:rFonts w:ascii="Times New Roman" w:hAnsi="Times New Roman" w:cs="Times New Roman"/>
              </w:rPr>
            </w:pPr>
          </w:p>
        </w:tc>
      </w:tr>
      <w:tr w:rsidR="0051156B" w:rsidRPr="005D5263" w14:paraId="4BF1103D" w14:textId="77777777" w:rsidTr="0098393A">
        <w:tc>
          <w:tcPr>
            <w:tcW w:w="3823" w:type="dxa"/>
          </w:tcPr>
          <w:p w14:paraId="2F75C529" w14:textId="77777777" w:rsidR="0051156B" w:rsidRPr="008C4F37" w:rsidRDefault="0051156B" w:rsidP="00EB4910">
            <w:pPr>
              <w:rPr>
                <w:rFonts w:ascii="Times New Roman" w:hAnsi="Times New Roman" w:cs="Times New Roman"/>
              </w:rPr>
            </w:pPr>
          </w:p>
        </w:tc>
        <w:tc>
          <w:tcPr>
            <w:tcW w:w="4677" w:type="dxa"/>
          </w:tcPr>
          <w:p w14:paraId="54197C1A" w14:textId="491C8AD7" w:rsidR="0051156B" w:rsidRDefault="0051156B" w:rsidP="00EB4910">
            <w:pPr>
              <w:rPr>
                <w:rFonts w:ascii="Times New Roman" w:hAnsi="Times New Roman" w:cs="Times New Roman"/>
              </w:rPr>
            </w:pPr>
            <w:r>
              <w:rPr>
                <w:rFonts w:ascii="Times New Roman" w:hAnsi="Times New Roman" w:cs="Times New Roman"/>
              </w:rPr>
              <w:t xml:space="preserve">Piegādātājs nodrošina iekārtas lietošanas instrukciju latviešu vai angļu valodā </w:t>
            </w:r>
          </w:p>
        </w:tc>
        <w:tc>
          <w:tcPr>
            <w:tcW w:w="6237" w:type="dxa"/>
          </w:tcPr>
          <w:p w14:paraId="70BADE5A" w14:textId="77777777" w:rsidR="0051156B" w:rsidRPr="008C4F37" w:rsidRDefault="0051156B" w:rsidP="00EB4910">
            <w:pPr>
              <w:rPr>
                <w:rFonts w:ascii="Times New Roman" w:hAnsi="Times New Roman" w:cs="Times New Roman"/>
              </w:rPr>
            </w:pPr>
          </w:p>
        </w:tc>
      </w:tr>
      <w:tr w:rsidR="0051156B" w:rsidRPr="005D5263" w14:paraId="1AF3D7DA" w14:textId="5CCB112C" w:rsidTr="0098393A">
        <w:tc>
          <w:tcPr>
            <w:tcW w:w="3823" w:type="dxa"/>
            <w:vMerge w:val="restart"/>
          </w:tcPr>
          <w:p w14:paraId="0468BF17" w14:textId="49FACAF8" w:rsidR="0051156B" w:rsidRPr="008C4F37" w:rsidRDefault="0051156B" w:rsidP="00EB4910">
            <w:pPr>
              <w:rPr>
                <w:rFonts w:ascii="Times New Roman" w:hAnsi="Times New Roman" w:cs="Times New Roman"/>
              </w:rPr>
            </w:pPr>
            <w:r w:rsidRPr="008C4F37">
              <w:rPr>
                <w:rFonts w:ascii="Times New Roman" w:hAnsi="Times New Roman" w:cs="Times New Roman"/>
              </w:rPr>
              <w:t>2. Analīzes programmatūra</w:t>
            </w:r>
          </w:p>
        </w:tc>
        <w:tc>
          <w:tcPr>
            <w:tcW w:w="4677" w:type="dxa"/>
          </w:tcPr>
          <w:p w14:paraId="22F137BB" w14:textId="0324ABD3" w:rsidR="0051156B" w:rsidRPr="008C4F37" w:rsidRDefault="0051156B" w:rsidP="00EB4910">
            <w:pPr>
              <w:rPr>
                <w:rFonts w:ascii="Times New Roman" w:hAnsi="Times New Roman" w:cs="Times New Roman"/>
              </w:rPr>
            </w:pPr>
            <w:r>
              <w:rPr>
                <w:rFonts w:ascii="Times New Roman" w:hAnsi="Times New Roman" w:cs="Times New Roman"/>
              </w:rPr>
              <w:t xml:space="preserve">Savietojama ar Tehniskās specifikācijas 1.punktā minēto acu kustību reģistrācijas aparatūru (moduli) </w:t>
            </w:r>
          </w:p>
        </w:tc>
        <w:tc>
          <w:tcPr>
            <w:tcW w:w="6237" w:type="dxa"/>
          </w:tcPr>
          <w:p w14:paraId="2BC0AC35" w14:textId="77777777" w:rsidR="0051156B" w:rsidRPr="008C4F37" w:rsidRDefault="0051156B" w:rsidP="00EB4910">
            <w:pPr>
              <w:rPr>
                <w:rFonts w:ascii="Times New Roman" w:hAnsi="Times New Roman" w:cs="Times New Roman"/>
              </w:rPr>
            </w:pPr>
          </w:p>
        </w:tc>
      </w:tr>
      <w:tr w:rsidR="0051156B" w:rsidRPr="005D5263" w14:paraId="4E186479" w14:textId="77777777" w:rsidTr="0098393A">
        <w:tc>
          <w:tcPr>
            <w:tcW w:w="3823" w:type="dxa"/>
            <w:vMerge/>
          </w:tcPr>
          <w:p w14:paraId="4C7BB558" w14:textId="77777777" w:rsidR="0051156B" w:rsidRPr="008C4F37" w:rsidRDefault="0051156B" w:rsidP="00EB4910">
            <w:pPr>
              <w:rPr>
                <w:rFonts w:ascii="Times New Roman" w:hAnsi="Times New Roman" w:cs="Times New Roman"/>
              </w:rPr>
            </w:pPr>
          </w:p>
        </w:tc>
        <w:tc>
          <w:tcPr>
            <w:tcW w:w="4677" w:type="dxa"/>
          </w:tcPr>
          <w:p w14:paraId="40E8E0B0" w14:textId="24E65EA8" w:rsidR="0051156B" w:rsidRDefault="0051156B" w:rsidP="00EB4910">
            <w:pPr>
              <w:rPr>
                <w:rFonts w:ascii="Times New Roman" w:hAnsi="Times New Roman" w:cs="Times New Roman"/>
              </w:rPr>
            </w:pPr>
            <w:r>
              <w:rPr>
                <w:rFonts w:ascii="Times New Roman" w:hAnsi="Times New Roman" w:cs="Times New Roman"/>
              </w:rPr>
              <w:t>Nodrošina acu skatiena datu straumes nolasīšanu, uzkrāšanu un apstrādi</w:t>
            </w:r>
          </w:p>
        </w:tc>
        <w:tc>
          <w:tcPr>
            <w:tcW w:w="6237" w:type="dxa"/>
          </w:tcPr>
          <w:p w14:paraId="4100931C" w14:textId="77777777" w:rsidR="0051156B" w:rsidRPr="008C4F37" w:rsidRDefault="0051156B" w:rsidP="00EB4910">
            <w:pPr>
              <w:rPr>
                <w:rFonts w:ascii="Times New Roman" w:hAnsi="Times New Roman" w:cs="Times New Roman"/>
              </w:rPr>
            </w:pPr>
          </w:p>
        </w:tc>
      </w:tr>
      <w:tr w:rsidR="0051156B" w:rsidRPr="005D5263" w14:paraId="56CC7FFB" w14:textId="77777777" w:rsidTr="0051156B">
        <w:trPr>
          <w:trHeight w:val="2793"/>
        </w:trPr>
        <w:tc>
          <w:tcPr>
            <w:tcW w:w="3823" w:type="dxa"/>
            <w:vMerge/>
          </w:tcPr>
          <w:p w14:paraId="7EEB1653" w14:textId="77777777" w:rsidR="0051156B" w:rsidRPr="008C4F37" w:rsidRDefault="0051156B" w:rsidP="00EB4910">
            <w:pPr>
              <w:rPr>
                <w:rFonts w:ascii="Times New Roman" w:hAnsi="Times New Roman" w:cs="Times New Roman"/>
              </w:rPr>
            </w:pPr>
          </w:p>
        </w:tc>
        <w:tc>
          <w:tcPr>
            <w:tcW w:w="4677" w:type="dxa"/>
          </w:tcPr>
          <w:p w14:paraId="6E14C0C2" w14:textId="77777777" w:rsidR="0051156B" w:rsidRDefault="0051156B" w:rsidP="00EB4910">
            <w:pPr>
              <w:rPr>
                <w:rFonts w:ascii="Times New Roman" w:hAnsi="Times New Roman" w:cs="Times New Roman"/>
              </w:rPr>
            </w:pPr>
            <w:r>
              <w:rPr>
                <w:rFonts w:ascii="Times New Roman" w:hAnsi="Times New Roman" w:cs="Times New Roman"/>
              </w:rPr>
              <w:t>Atbalsts lietotāja uzvedības un kognitīvo pētījumu analīzei, nodrošinot:</w:t>
            </w:r>
          </w:p>
          <w:p w14:paraId="01398A69" w14:textId="2B613C36" w:rsidR="0051156B" w:rsidRDefault="0051156B" w:rsidP="00EB4910">
            <w:pPr>
              <w:rPr>
                <w:rFonts w:ascii="Times New Roman" w:hAnsi="Times New Roman" w:cs="Times New Roman"/>
              </w:rPr>
            </w:pPr>
            <w:r>
              <w:rPr>
                <w:rFonts w:ascii="Times New Roman" w:hAnsi="Times New Roman" w:cs="Times New Roman"/>
              </w:rPr>
              <w:t>Temperatūras kartes;</w:t>
            </w:r>
          </w:p>
          <w:p w14:paraId="13833427" w14:textId="77777777" w:rsidR="0051156B" w:rsidRDefault="0051156B" w:rsidP="00EB4910">
            <w:pPr>
              <w:rPr>
                <w:rFonts w:ascii="Times New Roman" w:hAnsi="Times New Roman" w:cs="Times New Roman"/>
              </w:rPr>
            </w:pPr>
            <w:r>
              <w:rPr>
                <w:rFonts w:ascii="Times New Roman" w:hAnsi="Times New Roman" w:cs="Times New Roman"/>
              </w:rPr>
              <w:t>Redzes fiksācijas ceļus un punktus;</w:t>
            </w:r>
          </w:p>
          <w:p w14:paraId="23DEDFDA" w14:textId="47641E8B" w:rsidR="0051156B" w:rsidRDefault="0051156B" w:rsidP="00EB4910">
            <w:pPr>
              <w:rPr>
                <w:rFonts w:ascii="Times New Roman" w:hAnsi="Times New Roman" w:cs="Times New Roman"/>
              </w:rPr>
            </w:pPr>
            <w:r>
              <w:rPr>
                <w:rFonts w:ascii="Times New Roman" w:hAnsi="Times New Roman" w:cs="Times New Roman"/>
              </w:rPr>
              <w:t xml:space="preserve">Nodrošina atbalstu ekrāna uzņēmuma, attēlu, video, vairāku lietotāju tīmekļa datu apkopošanai un statistikas eksportēšanai; </w:t>
            </w:r>
          </w:p>
          <w:p w14:paraId="61F390E7" w14:textId="2993DC4C" w:rsidR="0051156B" w:rsidRDefault="0051156B" w:rsidP="00EB4910">
            <w:pPr>
              <w:rPr>
                <w:rFonts w:ascii="Times New Roman" w:hAnsi="Times New Roman" w:cs="Times New Roman"/>
              </w:rPr>
            </w:pPr>
            <w:r>
              <w:rPr>
                <w:rFonts w:ascii="Times New Roman" w:hAnsi="Times New Roman" w:cs="Times New Roman"/>
              </w:rPr>
              <w:t>Nodrošina atbalstu interneta pārlūkprogrammas analīzei (Edge, Chrome, Firefox) un statistikas eksportēšanai;</w:t>
            </w:r>
          </w:p>
          <w:p w14:paraId="287705EF" w14:textId="4045D2BD" w:rsidR="0051156B" w:rsidRDefault="0051156B" w:rsidP="00EB4910">
            <w:pPr>
              <w:rPr>
                <w:rFonts w:ascii="Times New Roman" w:hAnsi="Times New Roman" w:cs="Times New Roman"/>
              </w:rPr>
            </w:pPr>
            <w:r>
              <w:rPr>
                <w:rFonts w:ascii="Times New Roman" w:hAnsi="Times New Roman" w:cs="Times New Roman"/>
              </w:rPr>
              <w:t>Nodrošina atbalstu dinamiskā AOI analīzei ar statistikas eksportu;</w:t>
            </w:r>
          </w:p>
          <w:p w14:paraId="51B28436" w14:textId="0E53CD81" w:rsidR="0051156B" w:rsidRDefault="0051156B" w:rsidP="00EB4910">
            <w:pPr>
              <w:rPr>
                <w:rFonts w:ascii="Times New Roman" w:hAnsi="Times New Roman" w:cs="Times New Roman"/>
              </w:rPr>
            </w:pPr>
            <w:r>
              <w:rPr>
                <w:rFonts w:ascii="Times New Roman" w:hAnsi="Times New Roman" w:cs="Times New Roman"/>
              </w:rPr>
              <w:t>Kursora trajektoriju pierakstu un analīzi;</w:t>
            </w:r>
          </w:p>
          <w:p w14:paraId="3FFF872F" w14:textId="333B316B" w:rsidR="0051156B" w:rsidRDefault="0051156B" w:rsidP="00EB4910">
            <w:pPr>
              <w:rPr>
                <w:rFonts w:ascii="Times New Roman" w:hAnsi="Times New Roman" w:cs="Times New Roman"/>
              </w:rPr>
            </w:pPr>
            <w:r>
              <w:rPr>
                <w:rFonts w:ascii="Times New Roman" w:hAnsi="Times New Roman" w:cs="Times New Roman"/>
              </w:rPr>
              <w:t>Atbalstu tīmekļa kameras un balss ierakstam;</w:t>
            </w:r>
          </w:p>
          <w:p w14:paraId="1BC47CE5" w14:textId="727449B9" w:rsidR="0051156B" w:rsidRDefault="0051156B" w:rsidP="00EB4910">
            <w:pPr>
              <w:rPr>
                <w:rFonts w:ascii="Times New Roman" w:hAnsi="Times New Roman" w:cs="Times New Roman"/>
              </w:rPr>
            </w:pPr>
            <w:r>
              <w:rPr>
                <w:rFonts w:ascii="Times New Roman" w:hAnsi="Times New Roman" w:cs="Times New Roman"/>
              </w:rPr>
              <w:t>Analīzes tiešlaika attēlojumu</w:t>
            </w:r>
          </w:p>
        </w:tc>
        <w:tc>
          <w:tcPr>
            <w:tcW w:w="6237" w:type="dxa"/>
          </w:tcPr>
          <w:p w14:paraId="5BF811B7" w14:textId="77777777" w:rsidR="0051156B" w:rsidRPr="008C4F37" w:rsidRDefault="0051156B" w:rsidP="00EB4910">
            <w:pPr>
              <w:rPr>
                <w:rFonts w:ascii="Times New Roman" w:hAnsi="Times New Roman" w:cs="Times New Roman"/>
              </w:rPr>
            </w:pPr>
          </w:p>
        </w:tc>
      </w:tr>
      <w:tr w:rsidR="0051156B" w:rsidRPr="005D5263" w14:paraId="00FA7815" w14:textId="77777777" w:rsidTr="0051156B">
        <w:trPr>
          <w:trHeight w:val="447"/>
        </w:trPr>
        <w:tc>
          <w:tcPr>
            <w:tcW w:w="3823" w:type="dxa"/>
            <w:vMerge/>
          </w:tcPr>
          <w:p w14:paraId="662435DB" w14:textId="77777777" w:rsidR="0051156B" w:rsidRPr="008C4F37" w:rsidRDefault="0051156B" w:rsidP="00EB4910">
            <w:pPr>
              <w:rPr>
                <w:rFonts w:ascii="Times New Roman" w:hAnsi="Times New Roman" w:cs="Times New Roman"/>
              </w:rPr>
            </w:pPr>
          </w:p>
        </w:tc>
        <w:tc>
          <w:tcPr>
            <w:tcW w:w="4677" w:type="dxa"/>
          </w:tcPr>
          <w:p w14:paraId="1632FAB6" w14:textId="25CF0E5A" w:rsidR="0051156B" w:rsidRDefault="0051156B" w:rsidP="00EB4910">
            <w:pPr>
              <w:rPr>
                <w:rFonts w:ascii="Times New Roman" w:hAnsi="Times New Roman" w:cs="Times New Roman"/>
              </w:rPr>
            </w:pPr>
            <w:r>
              <w:rPr>
                <w:rFonts w:ascii="Times New Roman" w:hAnsi="Times New Roman" w:cs="Times New Roman"/>
              </w:rPr>
              <w:t>Iekļauts programmatūras lietošanas manuālis vai treniņkurss</w:t>
            </w:r>
          </w:p>
        </w:tc>
        <w:tc>
          <w:tcPr>
            <w:tcW w:w="6237" w:type="dxa"/>
          </w:tcPr>
          <w:p w14:paraId="3CC8DE07" w14:textId="77777777" w:rsidR="0051156B" w:rsidRPr="008C4F37" w:rsidRDefault="0051156B" w:rsidP="00EB4910">
            <w:pPr>
              <w:rPr>
                <w:rFonts w:ascii="Times New Roman" w:hAnsi="Times New Roman" w:cs="Times New Roman"/>
              </w:rPr>
            </w:pPr>
          </w:p>
        </w:tc>
      </w:tr>
      <w:tr w:rsidR="0051156B" w:rsidRPr="005D5263" w14:paraId="0239225E" w14:textId="77777777" w:rsidTr="0051156B">
        <w:trPr>
          <w:trHeight w:val="447"/>
        </w:trPr>
        <w:tc>
          <w:tcPr>
            <w:tcW w:w="3823" w:type="dxa"/>
            <w:vMerge/>
            <w:tcBorders>
              <w:bottom w:val="single" w:sz="4" w:space="0" w:color="auto"/>
            </w:tcBorders>
          </w:tcPr>
          <w:p w14:paraId="2284756A" w14:textId="77777777" w:rsidR="0051156B" w:rsidRPr="008C4F37" w:rsidRDefault="0051156B" w:rsidP="00EB4910">
            <w:pPr>
              <w:rPr>
                <w:rFonts w:ascii="Times New Roman" w:hAnsi="Times New Roman" w:cs="Times New Roman"/>
              </w:rPr>
            </w:pPr>
          </w:p>
        </w:tc>
        <w:tc>
          <w:tcPr>
            <w:tcW w:w="4677" w:type="dxa"/>
            <w:tcBorders>
              <w:bottom w:val="single" w:sz="4" w:space="0" w:color="auto"/>
            </w:tcBorders>
          </w:tcPr>
          <w:p w14:paraId="4E992392" w14:textId="5CF10F3B" w:rsidR="0051156B" w:rsidRDefault="0051156B" w:rsidP="00EB4910">
            <w:pPr>
              <w:rPr>
                <w:rFonts w:ascii="Times New Roman" w:hAnsi="Times New Roman" w:cs="Times New Roman"/>
              </w:rPr>
            </w:pPr>
            <w:r>
              <w:rPr>
                <w:rFonts w:ascii="Times New Roman" w:hAnsi="Times New Roman" w:cs="Times New Roman"/>
              </w:rPr>
              <w:t>Programmatūra optimizēta 64 bitu arhitektūrai un pieejama Windows platformām</w:t>
            </w:r>
          </w:p>
        </w:tc>
        <w:tc>
          <w:tcPr>
            <w:tcW w:w="6237" w:type="dxa"/>
            <w:tcBorders>
              <w:bottom w:val="single" w:sz="4" w:space="0" w:color="auto"/>
            </w:tcBorders>
          </w:tcPr>
          <w:p w14:paraId="63F67D7D" w14:textId="77777777" w:rsidR="0051156B" w:rsidRPr="008C4F37" w:rsidRDefault="0051156B" w:rsidP="00EB4910">
            <w:pPr>
              <w:rPr>
                <w:rFonts w:ascii="Times New Roman" w:hAnsi="Times New Roman" w:cs="Times New Roman"/>
              </w:rPr>
            </w:pPr>
          </w:p>
        </w:tc>
      </w:tr>
    </w:tbl>
    <w:p w14:paraId="43D17CBC" w14:textId="77777777" w:rsidR="00442059" w:rsidRDefault="00442059" w:rsidP="001F7617">
      <w:pPr>
        <w:spacing w:after="0" w:line="240" w:lineRule="auto"/>
        <w:jc w:val="both"/>
        <w:rPr>
          <w:rFonts w:ascii="Times New Roman" w:eastAsia="Cambria" w:hAnsi="Times New Roman" w:cs="Times New Roman"/>
          <w:b/>
          <w:kern w:val="56"/>
        </w:rPr>
      </w:pPr>
    </w:p>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48D20EEF"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DC482D">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0F159E"/>
    <w:rsid w:val="00113D4A"/>
    <w:rsid w:val="0012610C"/>
    <w:rsid w:val="001271A1"/>
    <w:rsid w:val="00135BDD"/>
    <w:rsid w:val="00154FA3"/>
    <w:rsid w:val="001648BC"/>
    <w:rsid w:val="00181C61"/>
    <w:rsid w:val="00186817"/>
    <w:rsid w:val="001926AB"/>
    <w:rsid w:val="001966A2"/>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76629"/>
    <w:rsid w:val="00380E46"/>
    <w:rsid w:val="00386C88"/>
    <w:rsid w:val="003A5308"/>
    <w:rsid w:val="003B4076"/>
    <w:rsid w:val="003E76D1"/>
    <w:rsid w:val="003F3C18"/>
    <w:rsid w:val="004111FA"/>
    <w:rsid w:val="00425487"/>
    <w:rsid w:val="00442059"/>
    <w:rsid w:val="00483227"/>
    <w:rsid w:val="004B0CC4"/>
    <w:rsid w:val="004D35DD"/>
    <w:rsid w:val="004D7AA4"/>
    <w:rsid w:val="0050252E"/>
    <w:rsid w:val="0050466B"/>
    <w:rsid w:val="0051156B"/>
    <w:rsid w:val="00523129"/>
    <w:rsid w:val="00535279"/>
    <w:rsid w:val="00546A5D"/>
    <w:rsid w:val="005505D6"/>
    <w:rsid w:val="00554E30"/>
    <w:rsid w:val="0057224D"/>
    <w:rsid w:val="00593D70"/>
    <w:rsid w:val="005A6E27"/>
    <w:rsid w:val="005D1CF9"/>
    <w:rsid w:val="005D5263"/>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16F05"/>
    <w:rsid w:val="00740AF3"/>
    <w:rsid w:val="00742B3A"/>
    <w:rsid w:val="00761E07"/>
    <w:rsid w:val="00767179"/>
    <w:rsid w:val="00774D60"/>
    <w:rsid w:val="00783A3F"/>
    <w:rsid w:val="00791404"/>
    <w:rsid w:val="0079294E"/>
    <w:rsid w:val="00792D63"/>
    <w:rsid w:val="007B5015"/>
    <w:rsid w:val="007D5A99"/>
    <w:rsid w:val="007E5590"/>
    <w:rsid w:val="007F6D87"/>
    <w:rsid w:val="0080251A"/>
    <w:rsid w:val="00804E79"/>
    <w:rsid w:val="008113D9"/>
    <w:rsid w:val="008400FB"/>
    <w:rsid w:val="00845E0E"/>
    <w:rsid w:val="0086103B"/>
    <w:rsid w:val="00861494"/>
    <w:rsid w:val="008A5844"/>
    <w:rsid w:val="008C4F37"/>
    <w:rsid w:val="008D52B4"/>
    <w:rsid w:val="008E0EA2"/>
    <w:rsid w:val="008E73C6"/>
    <w:rsid w:val="009066F4"/>
    <w:rsid w:val="00913DB0"/>
    <w:rsid w:val="009154E6"/>
    <w:rsid w:val="009529E1"/>
    <w:rsid w:val="009648AA"/>
    <w:rsid w:val="0096662B"/>
    <w:rsid w:val="0098393A"/>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B7861"/>
    <w:rsid w:val="00AF329E"/>
    <w:rsid w:val="00B173DB"/>
    <w:rsid w:val="00B61C57"/>
    <w:rsid w:val="00B74B44"/>
    <w:rsid w:val="00B922B3"/>
    <w:rsid w:val="00B9382E"/>
    <w:rsid w:val="00BC41CE"/>
    <w:rsid w:val="00C035F9"/>
    <w:rsid w:val="00C12976"/>
    <w:rsid w:val="00C12C1E"/>
    <w:rsid w:val="00C25B1F"/>
    <w:rsid w:val="00C450D0"/>
    <w:rsid w:val="00C576C9"/>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482D"/>
    <w:rsid w:val="00DC6856"/>
    <w:rsid w:val="00DE19D5"/>
    <w:rsid w:val="00DE7881"/>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2D05-3F77-4C43-937D-F9AA4A34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Pages>
  <Words>2517</Words>
  <Characters>1436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107</cp:revision>
  <cp:lastPrinted>2018-04-05T08:48:00Z</cp:lastPrinted>
  <dcterms:created xsi:type="dcterms:W3CDTF">2018-01-11T07:33:00Z</dcterms:created>
  <dcterms:modified xsi:type="dcterms:W3CDTF">2018-06-19T07:38:00Z</dcterms:modified>
</cp:coreProperties>
</file>