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B12A5">
        <w:rPr>
          <w:rFonts w:eastAsia="Cambria"/>
          <w:kern w:val="56"/>
          <w:sz w:val="20"/>
          <w:szCs w:val="20"/>
        </w:rPr>
        <w:t>.6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CB12A5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Nr.6</w:t>
      </w:r>
      <w:r w:rsidR="00FC3F25" w:rsidRPr="008E5724">
        <w:rPr>
          <w:rFonts w:eastAsia="Cambria"/>
          <w:b/>
          <w:kern w:val="56"/>
        </w:rPr>
        <w:t xml:space="preserve"> “</w:t>
      </w:r>
      <w:r>
        <w:rPr>
          <w:b/>
        </w:rPr>
        <w:t>Laboratorijas iekārtu savienojuma vadi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CB12A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B12A5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B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B12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8E5724"/>
    <w:rsid w:val="009A3CC5"/>
    <w:rsid w:val="00AA046A"/>
    <w:rsid w:val="00CB12A5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8B558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</cp:revision>
  <dcterms:created xsi:type="dcterms:W3CDTF">2018-01-11T11:12:00Z</dcterms:created>
  <dcterms:modified xsi:type="dcterms:W3CDTF">2018-06-29T07:35:00Z</dcterms:modified>
</cp:coreProperties>
</file>