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4C5570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275D8B">
        <w:rPr>
          <w:rFonts w:ascii="Times New Roman" w:hAnsi="Times New Roman" w:cs="Times New Roman"/>
          <w:sz w:val="20"/>
          <w:szCs w:val="20"/>
        </w:rPr>
        <w:t>4</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48576A23" w:rsidR="001F7617" w:rsidRPr="00275D8B" w:rsidRDefault="001F7617" w:rsidP="00275D8B">
      <w:pPr>
        <w:jc w:val="center"/>
        <w:rPr>
          <w:rFonts w:ascii="Times New Roman" w:hAnsi="Times New Roman" w:cs="Times New Roman"/>
          <w:i/>
        </w:rPr>
      </w:pPr>
      <w:r w:rsidRPr="00275D8B">
        <w:rPr>
          <w:rFonts w:ascii="Times New Roman" w:eastAsia="Cambria" w:hAnsi="Times New Roman" w:cs="Times New Roman"/>
          <w:i/>
          <w:kern w:val="56"/>
        </w:rPr>
        <w:t xml:space="preserve">Iepirkuma </w:t>
      </w:r>
      <w:r w:rsidR="00275D8B" w:rsidRPr="00275D8B">
        <w:rPr>
          <w:rFonts w:ascii="Times New Roman" w:eastAsia="Cambria" w:hAnsi="Times New Roman" w:cs="Times New Roman"/>
          <w:i/>
          <w:kern w:val="56"/>
        </w:rPr>
        <w:t>daļā Nr.4</w:t>
      </w:r>
      <w:r w:rsidRPr="00275D8B">
        <w:rPr>
          <w:rFonts w:ascii="Times New Roman" w:eastAsia="Cambria" w:hAnsi="Times New Roman" w:cs="Times New Roman"/>
          <w:i/>
          <w:kern w:val="56"/>
        </w:rPr>
        <w:t xml:space="preserve"> “</w:t>
      </w:r>
      <w:r w:rsidR="00275D8B" w:rsidRPr="00275D8B">
        <w:rPr>
          <w:rFonts w:ascii="Times New Roman" w:hAnsi="Times New Roman" w:cs="Times New Roman"/>
          <w:i/>
        </w:rPr>
        <w:t>Digitālais multimetrs (AC/DC clamp)”</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275D8B">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275D8B">
        <w:tc>
          <w:tcPr>
            <w:tcW w:w="14742" w:type="dxa"/>
            <w:gridSpan w:val="3"/>
            <w:shd w:val="clear" w:color="auto" w:fill="BFBFBF"/>
          </w:tcPr>
          <w:p w14:paraId="152DA4D1" w14:textId="4D9A9A25" w:rsidR="0020533D" w:rsidRPr="00275D8B" w:rsidRDefault="00275D8B" w:rsidP="0020533D">
            <w:pPr>
              <w:jc w:val="center"/>
              <w:rPr>
                <w:rFonts w:ascii="Times New Roman" w:hAnsi="Times New Roman" w:cs="Times New Roman"/>
                <w:b/>
              </w:rPr>
            </w:pPr>
            <w:r w:rsidRPr="00275D8B">
              <w:rPr>
                <w:rFonts w:ascii="Times New Roman" w:hAnsi="Times New Roman" w:cs="Times New Roman"/>
                <w:b/>
              </w:rPr>
              <w:t xml:space="preserve">Digitālais multimetrs (AC/DC clamp) </w:t>
            </w:r>
            <w:r w:rsidRPr="00275D8B">
              <w:rPr>
                <w:rFonts w:ascii="Times New Roman" w:hAnsi="Times New Roman" w:cs="Times New Roman"/>
                <w:b/>
                <w:sz w:val="24"/>
                <w:szCs w:val="24"/>
              </w:rPr>
              <w:t>(3</w:t>
            </w:r>
            <w:r w:rsidR="00AF1E4A" w:rsidRPr="00275D8B">
              <w:rPr>
                <w:rFonts w:ascii="Times New Roman" w:hAnsi="Times New Roman" w:cs="Times New Roman"/>
                <w:b/>
                <w:sz w:val="24"/>
                <w:szCs w:val="24"/>
              </w:rPr>
              <w:t xml:space="preserve"> gab.)</w:t>
            </w:r>
          </w:p>
        </w:tc>
      </w:tr>
      <w:tr w:rsidR="00275D8B" w:rsidRPr="008F57B9" w14:paraId="5754A7D2"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1113F2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Displejs</w:t>
            </w:r>
          </w:p>
        </w:tc>
        <w:tc>
          <w:tcPr>
            <w:tcW w:w="4537" w:type="dxa"/>
            <w:tcBorders>
              <w:top w:val="single" w:sz="4" w:space="0" w:color="auto"/>
              <w:left w:val="single" w:sz="4" w:space="0" w:color="auto"/>
              <w:bottom w:val="single" w:sz="4" w:space="0" w:color="auto"/>
              <w:right w:val="single" w:sz="4" w:space="0" w:color="auto"/>
            </w:tcBorders>
          </w:tcPr>
          <w:p w14:paraId="7DAFEAD7"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ne mazāk par 1999 zīmēm</w:t>
            </w:r>
          </w:p>
        </w:tc>
        <w:tc>
          <w:tcPr>
            <w:tcW w:w="6094" w:type="dxa"/>
            <w:tcBorders>
              <w:top w:val="single" w:sz="4" w:space="0" w:color="auto"/>
              <w:left w:val="single" w:sz="4" w:space="0" w:color="auto"/>
              <w:bottom w:val="single" w:sz="4" w:space="0" w:color="auto"/>
              <w:right w:val="single" w:sz="4" w:space="0" w:color="auto"/>
            </w:tcBorders>
          </w:tcPr>
          <w:p w14:paraId="60D14519" w14:textId="07155926" w:rsidR="00275D8B" w:rsidRPr="00275D8B" w:rsidRDefault="00275D8B" w:rsidP="00DB08FE">
            <w:pPr>
              <w:spacing w:line="240" w:lineRule="auto"/>
              <w:jc w:val="center"/>
              <w:rPr>
                <w:rFonts w:ascii="Times New Roman" w:hAnsi="Times New Roman" w:cs="Times New Roman"/>
              </w:rPr>
            </w:pPr>
          </w:p>
        </w:tc>
      </w:tr>
      <w:tr w:rsidR="00275D8B" w:rsidRPr="008F57B9" w14:paraId="16B96E0A"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5B71806"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diapazona pārslēgšana</w:t>
            </w:r>
          </w:p>
        </w:tc>
        <w:tc>
          <w:tcPr>
            <w:tcW w:w="4537" w:type="dxa"/>
            <w:tcBorders>
              <w:top w:val="single" w:sz="4" w:space="0" w:color="auto"/>
              <w:left w:val="single" w:sz="4" w:space="0" w:color="auto"/>
              <w:bottom w:val="single" w:sz="4" w:space="0" w:color="auto"/>
              <w:right w:val="single" w:sz="4" w:space="0" w:color="auto"/>
            </w:tcBorders>
          </w:tcPr>
          <w:p w14:paraId="3C219E3C" w14:textId="77777777" w:rsidR="00275D8B" w:rsidRPr="00275D8B" w:rsidRDefault="00275D8B" w:rsidP="00DB08FE">
            <w:pPr>
              <w:tabs>
                <w:tab w:val="left" w:pos="178"/>
              </w:tabs>
              <w:spacing w:line="240" w:lineRule="auto"/>
              <w:jc w:val="center"/>
              <w:rPr>
                <w:rFonts w:ascii="Times New Roman" w:hAnsi="Times New Roman" w:cs="Times New Roman"/>
              </w:rPr>
            </w:pPr>
            <w:r w:rsidRPr="00275D8B">
              <w:rPr>
                <w:rFonts w:ascii="Times New Roman" w:hAnsi="Times New Roman" w:cs="Times New Roman"/>
              </w:rPr>
              <w:t>manuāla</w:t>
            </w:r>
          </w:p>
        </w:tc>
        <w:tc>
          <w:tcPr>
            <w:tcW w:w="6094" w:type="dxa"/>
            <w:tcBorders>
              <w:top w:val="single" w:sz="4" w:space="0" w:color="auto"/>
              <w:left w:val="single" w:sz="4" w:space="0" w:color="auto"/>
              <w:bottom w:val="single" w:sz="4" w:space="0" w:color="auto"/>
              <w:right w:val="single" w:sz="4" w:space="0" w:color="auto"/>
            </w:tcBorders>
          </w:tcPr>
          <w:p w14:paraId="70C02788" w14:textId="5909BFAD" w:rsidR="00275D8B" w:rsidRPr="00275D8B" w:rsidRDefault="00275D8B" w:rsidP="00DB08FE">
            <w:pPr>
              <w:spacing w:line="240" w:lineRule="auto"/>
              <w:jc w:val="center"/>
              <w:rPr>
                <w:rFonts w:ascii="Times New Roman" w:hAnsi="Times New Roman" w:cs="Times New Roman"/>
              </w:rPr>
            </w:pPr>
          </w:p>
        </w:tc>
      </w:tr>
      <w:tr w:rsidR="00275D8B" w:rsidRPr="008F57B9" w14:paraId="49D7EFB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2BF432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Izmēri</w:t>
            </w:r>
          </w:p>
        </w:tc>
        <w:tc>
          <w:tcPr>
            <w:tcW w:w="4537" w:type="dxa"/>
            <w:tcBorders>
              <w:top w:val="single" w:sz="4" w:space="0" w:color="auto"/>
              <w:left w:val="single" w:sz="4" w:space="0" w:color="auto"/>
              <w:bottom w:val="single" w:sz="4" w:space="0" w:color="auto"/>
              <w:right w:val="single" w:sz="4" w:space="0" w:color="auto"/>
            </w:tcBorders>
          </w:tcPr>
          <w:p w14:paraId="5E813BD6"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(30÷45) mm x (100÷50) mm x (150÷300) mm</w:t>
            </w:r>
          </w:p>
        </w:tc>
        <w:tc>
          <w:tcPr>
            <w:tcW w:w="6094" w:type="dxa"/>
            <w:tcBorders>
              <w:top w:val="single" w:sz="4" w:space="0" w:color="auto"/>
              <w:left w:val="single" w:sz="4" w:space="0" w:color="auto"/>
              <w:bottom w:val="single" w:sz="4" w:space="0" w:color="auto"/>
              <w:right w:val="single" w:sz="4" w:space="0" w:color="auto"/>
            </w:tcBorders>
          </w:tcPr>
          <w:p w14:paraId="1EE171D0" w14:textId="660B2484" w:rsidR="00275D8B" w:rsidRPr="00275D8B" w:rsidRDefault="00275D8B" w:rsidP="00DB08FE">
            <w:pPr>
              <w:tabs>
                <w:tab w:val="left" w:pos="4229"/>
              </w:tabs>
              <w:spacing w:line="240" w:lineRule="auto"/>
              <w:jc w:val="center"/>
              <w:rPr>
                <w:rFonts w:ascii="Times New Roman" w:hAnsi="Times New Roman" w:cs="Times New Roman"/>
              </w:rPr>
            </w:pPr>
          </w:p>
        </w:tc>
      </w:tr>
      <w:tr w:rsidR="00275D8B" w:rsidRPr="008F57B9" w14:paraId="04A301B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13E6F7"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Līdzspriegums</w:t>
            </w:r>
          </w:p>
        </w:tc>
        <w:tc>
          <w:tcPr>
            <w:tcW w:w="4537" w:type="dxa"/>
            <w:tcBorders>
              <w:top w:val="single" w:sz="4" w:space="0" w:color="auto"/>
              <w:left w:val="single" w:sz="4" w:space="0" w:color="auto"/>
              <w:bottom w:val="single" w:sz="4" w:space="0" w:color="auto"/>
              <w:right w:val="single" w:sz="4" w:space="0" w:color="auto"/>
            </w:tcBorders>
          </w:tcPr>
          <w:p w14:paraId="2290875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no 500 mV līdz 600 V ± ne vairāk pār 1%</w:t>
            </w:r>
          </w:p>
        </w:tc>
        <w:tc>
          <w:tcPr>
            <w:tcW w:w="6094" w:type="dxa"/>
            <w:tcBorders>
              <w:top w:val="single" w:sz="4" w:space="0" w:color="auto"/>
              <w:left w:val="single" w:sz="4" w:space="0" w:color="auto"/>
              <w:bottom w:val="single" w:sz="4" w:space="0" w:color="auto"/>
              <w:right w:val="single" w:sz="4" w:space="0" w:color="auto"/>
            </w:tcBorders>
          </w:tcPr>
          <w:p w14:paraId="1DA601E2" w14:textId="5484BF88" w:rsidR="00275D8B" w:rsidRPr="00275D8B" w:rsidRDefault="00275D8B" w:rsidP="00DB08FE">
            <w:pPr>
              <w:tabs>
                <w:tab w:val="left" w:pos="4229"/>
              </w:tabs>
              <w:spacing w:line="240" w:lineRule="auto"/>
              <w:jc w:val="center"/>
              <w:rPr>
                <w:rFonts w:ascii="Times New Roman" w:hAnsi="Times New Roman" w:cs="Times New Roman"/>
                <w:highlight w:val="yellow"/>
              </w:rPr>
            </w:pPr>
          </w:p>
        </w:tc>
      </w:tr>
      <w:tr w:rsidR="00275D8B" w:rsidRPr="008F57B9" w14:paraId="0E0D28A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847475"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Maiņspriegums</w:t>
            </w:r>
          </w:p>
        </w:tc>
        <w:tc>
          <w:tcPr>
            <w:tcW w:w="4537" w:type="dxa"/>
            <w:tcBorders>
              <w:top w:val="single" w:sz="4" w:space="0" w:color="auto"/>
              <w:left w:val="single" w:sz="4" w:space="0" w:color="auto"/>
              <w:bottom w:val="single" w:sz="4" w:space="0" w:color="auto"/>
              <w:right w:val="single" w:sz="4" w:space="0" w:color="auto"/>
            </w:tcBorders>
          </w:tcPr>
          <w:p w14:paraId="00749D3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no 500 mV līdz 600 V  ± ne vairāk pār 1.5%</w:t>
            </w:r>
          </w:p>
        </w:tc>
        <w:tc>
          <w:tcPr>
            <w:tcW w:w="6094" w:type="dxa"/>
            <w:tcBorders>
              <w:top w:val="single" w:sz="4" w:space="0" w:color="auto"/>
              <w:left w:val="single" w:sz="4" w:space="0" w:color="auto"/>
              <w:bottom w:val="single" w:sz="4" w:space="0" w:color="auto"/>
              <w:right w:val="single" w:sz="4" w:space="0" w:color="auto"/>
            </w:tcBorders>
          </w:tcPr>
          <w:p w14:paraId="14BF6833" w14:textId="03B4AD9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E0EAD3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9DC34AA"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Līdzstrāva</w:t>
            </w:r>
          </w:p>
        </w:tc>
        <w:tc>
          <w:tcPr>
            <w:tcW w:w="4537" w:type="dxa"/>
            <w:tcBorders>
              <w:top w:val="single" w:sz="4" w:space="0" w:color="auto"/>
              <w:left w:val="single" w:sz="4" w:space="0" w:color="auto"/>
              <w:bottom w:val="single" w:sz="4" w:space="0" w:color="auto"/>
              <w:right w:val="single" w:sz="4" w:space="0" w:color="auto"/>
            </w:tcBorders>
          </w:tcPr>
          <w:p w14:paraId="7FDD383B"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no 100 mA no līdz 40 A ± ne vairāk pār 2%</w:t>
            </w:r>
          </w:p>
        </w:tc>
        <w:tc>
          <w:tcPr>
            <w:tcW w:w="6094" w:type="dxa"/>
            <w:tcBorders>
              <w:top w:val="single" w:sz="4" w:space="0" w:color="auto"/>
              <w:left w:val="single" w:sz="4" w:space="0" w:color="auto"/>
              <w:bottom w:val="single" w:sz="4" w:space="0" w:color="auto"/>
              <w:right w:val="single" w:sz="4" w:space="0" w:color="auto"/>
            </w:tcBorders>
          </w:tcPr>
          <w:p w14:paraId="64C32927" w14:textId="4574EE0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05D26A1D"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0416D31F"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Maiņstrāva</w:t>
            </w:r>
          </w:p>
        </w:tc>
        <w:tc>
          <w:tcPr>
            <w:tcW w:w="4537" w:type="dxa"/>
            <w:tcBorders>
              <w:top w:val="single" w:sz="4" w:space="0" w:color="auto"/>
              <w:left w:val="single" w:sz="4" w:space="0" w:color="auto"/>
              <w:bottom w:val="single" w:sz="4" w:space="0" w:color="auto"/>
              <w:right w:val="single" w:sz="4" w:space="0" w:color="auto"/>
            </w:tcBorders>
          </w:tcPr>
          <w:p w14:paraId="7AAE0714"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no 100 mA no līdz 40 A ± ne vairāk pār 2% pie 50 Hz</w:t>
            </w:r>
          </w:p>
        </w:tc>
        <w:tc>
          <w:tcPr>
            <w:tcW w:w="6094" w:type="dxa"/>
            <w:tcBorders>
              <w:top w:val="single" w:sz="4" w:space="0" w:color="auto"/>
              <w:left w:val="single" w:sz="4" w:space="0" w:color="auto"/>
              <w:bottom w:val="single" w:sz="4" w:space="0" w:color="auto"/>
              <w:right w:val="single" w:sz="4" w:space="0" w:color="auto"/>
            </w:tcBorders>
          </w:tcPr>
          <w:p w14:paraId="4093EC06" w14:textId="3A0D5D01"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9C9AEA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43D9C65"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7AA5C1E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no 1 Ω līdz 40 kΩ ± ne vairāk pār 1.5%</w:t>
            </w:r>
          </w:p>
        </w:tc>
        <w:tc>
          <w:tcPr>
            <w:tcW w:w="6094" w:type="dxa"/>
            <w:tcBorders>
              <w:top w:val="single" w:sz="4" w:space="0" w:color="auto"/>
              <w:left w:val="single" w:sz="4" w:space="0" w:color="auto"/>
              <w:bottom w:val="single" w:sz="4" w:space="0" w:color="auto"/>
              <w:right w:val="single" w:sz="4" w:space="0" w:color="auto"/>
            </w:tcBorders>
          </w:tcPr>
          <w:p w14:paraId="5C0E4068" w14:textId="7C1ABD09" w:rsidR="00275D8B" w:rsidRPr="00275D8B" w:rsidRDefault="00275D8B" w:rsidP="00DB08FE">
            <w:pPr>
              <w:spacing w:line="240" w:lineRule="auto"/>
              <w:jc w:val="center"/>
              <w:rPr>
                <w:rFonts w:ascii="Times New Roman" w:hAnsi="Times New Roman" w:cs="Times New Roman"/>
              </w:rPr>
            </w:pPr>
          </w:p>
        </w:tc>
      </w:tr>
      <w:tr w:rsidR="00275D8B" w:rsidRPr="008F57B9" w14:paraId="39ECE96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93DDA1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lastRenderedPageBreak/>
              <w:t>Temperatūras diapazons</w:t>
            </w:r>
          </w:p>
        </w:tc>
        <w:tc>
          <w:tcPr>
            <w:tcW w:w="4537" w:type="dxa"/>
            <w:tcBorders>
              <w:top w:val="single" w:sz="4" w:space="0" w:color="auto"/>
              <w:left w:val="single" w:sz="4" w:space="0" w:color="auto"/>
              <w:bottom w:val="single" w:sz="4" w:space="0" w:color="auto"/>
              <w:right w:val="single" w:sz="4" w:space="0" w:color="auto"/>
            </w:tcBorders>
          </w:tcPr>
          <w:p w14:paraId="14E57323" w14:textId="6624A7F0"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 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41305F40" wp14:editId="77C2F9A1">
                  <wp:extent cx="4381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0</w:t>
            </w:r>
            <w:r w:rsidRPr="00275D8B">
              <w:rPr>
                <w:rFonts w:ascii="Times New Roman" w:hAnsi="Times New Roman" w:cs="Times New Roman"/>
                <w:vertAlign w:val="superscript"/>
              </w:rPr>
              <w:t>o</w:t>
            </w:r>
            <w:r w:rsidRPr="00275D8B">
              <w:rPr>
                <w:rFonts w:ascii="Times New Roman" w:hAnsi="Times New Roman" w:cs="Times New Roman"/>
              </w:rPr>
              <w:t>C...+50</w:t>
            </w:r>
            <w:r w:rsidRPr="00275D8B">
              <w:rPr>
                <w:rFonts w:ascii="Times New Roman" w:hAnsi="Times New Roman" w:cs="Times New Roman"/>
                <w:vertAlign w:val="superscript"/>
              </w:rPr>
              <w:t>o</w:t>
            </w:r>
            <w:r w:rsidRPr="00275D8B">
              <w:rPr>
                <w:rFonts w:ascii="Times New Roman" w:hAnsi="Times New Roman" w:cs="Times New Roman"/>
              </w:rPr>
              <w:t>C (ekspluatācija),</w:t>
            </w:r>
          </w:p>
          <w:p w14:paraId="417ECF12" w14:textId="397BA606"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0DEF9E76" wp14:editId="3C9EC9D8">
                  <wp:extent cx="4381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-20</w:t>
            </w:r>
            <w:r w:rsidRPr="00275D8B">
              <w:rPr>
                <w:rFonts w:ascii="Times New Roman" w:hAnsi="Times New Roman" w:cs="Times New Roman"/>
                <w:vertAlign w:val="superscript"/>
              </w:rPr>
              <w:t>o</w:t>
            </w:r>
            <w:r w:rsidRPr="00275D8B">
              <w:rPr>
                <w:rFonts w:ascii="Times New Roman" w:hAnsi="Times New Roman" w:cs="Times New Roman"/>
              </w:rPr>
              <w:t>C...+60</w:t>
            </w:r>
            <w:r w:rsidRPr="00275D8B">
              <w:rPr>
                <w:rFonts w:ascii="Times New Roman" w:hAnsi="Times New Roman" w:cs="Times New Roman"/>
                <w:vertAlign w:val="superscript"/>
              </w:rPr>
              <w:t>o</w:t>
            </w:r>
            <w:r w:rsidRPr="00275D8B">
              <w:rPr>
                <w:rFonts w:ascii="Times New Roman" w:hAnsi="Times New Roman" w:cs="Times New Roman"/>
              </w:rPr>
              <w:t>C (glabāšana)</w:t>
            </w:r>
          </w:p>
        </w:tc>
        <w:tc>
          <w:tcPr>
            <w:tcW w:w="6094" w:type="dxa"/>
            <w:tcBorders>
              <w:top w:val="single" w:sz="4" w:space="0" w:color="auto"/>
              <w:left w:val="single" w:sz="4" w:space="0" w:color="auto"/>
              <w:bottom w:val="single" w:sz="4" w:space="0" w:color="auto"/>
              <w:right w:val="single" w:sz="4" w:space="0" w:color="auto"/>
            </w:tcBorders>
          </w:tcPr>
          <w:p w14:paraId="38DAB8B6" w14:textId="74A412C9" w:rsidR="00275D8B" w:rsidRPr="00275D8B" w:rsidRDefault="00275D8B" w:rsidP="00DB08FE">
            <w:pPr>
              <w:spacing w:line="240" w:lineRule="auto"/>
              <w:jc w:val="center"/>
              <w:rPr>
                <w:rFonts w:ascii="Times New Roman" w:hAnsi="Times New Roman" w:cs="Times New Roman"/>
              </w:rPr>
            </w:pPr>
          </w:p>
        </w:tc>
      </w:tr>
      <w:tr w:rsidR="00275D8B" w:rsidRPr="008F57B9" w14:paraId="2DCB1B49"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50C39CC4"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Relatīvais gaisa mitrums</w:t>
            </w:r>
          </w:p>
        </w:tc>
        <w:tc>
          <w:tcPr>
            <w:tcW w:w="4537" w:type="dxa"/>
            <w:tcBorders>
              <w:top w:val="single" w:sz="4" w:space="0" w:color="auto"/>
              <w:left w:val="single" w:sz="4" w:space="0" w:color="auto"/>
              <w:bottom w:val="single" w:sz="4" w:space="0" w:color="auto"/>
              <w:right w:val="single" w:sz="4" w:space="0" w:color="auto"/>
            </w:tcBorders>
          </w:tcPr>
          <w:p w14:paraId="7B61DE72" w14:textId="79F4F3E9"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w:t>
            </w:r>
            <w:r w:rsidRPr="00275D8B">
              <w:rPr>
                <w:rFonts w:ascii="Times New Roman" w:hAnsi="Times New Roman" w:cs="Times New Roman"/>
              </w:rPr>
              <w:t>(</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32B2270E" wp14:editId="779117C7">
                  <wp:extent cx="333375" cy="171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25</w:t>
            </w:r>
            <w:r w:rsidRPr="00275D8B">
              <w:rPr>
                <w:rFonts w:ascii="Times New Roman" w:hAnsi="Times New Roman" w:cs="Times New Roman"/>
                <w:vertAlign w:val="superscript"/>
              </w:rPr>
              <w:t>o</w:t>
            </w:r>
            <w:r w:rsidRPr="00275D8B">
              <w:rPr>
                <w:rFonts w:ascii="Times New Roman" w:hAnsi="Times New Roman" w:cs="Times New Roman"/>
              </w:rPr>
              <w:t>C) – līdz 90%.</w:t>
            </w:r>
          </w:p>
        </w:tc>
        <w:tc>
          <w:tcPr>
            <w:tcW w:w="6094" w:type="dxa"/>
            <w:tcBorders>
              <w:top w:val="single" w:sz="4" w:space="0" w:color="auto"/>
              <w:left w:val="single" w:sz="4" w:space="0" w:color="auto"/>
              <w:bottom w:val="single" w:sz="4" w:space="0" w:color="auto"/>
              <w:right w:val="single" w:sz="4" w:space="0" w:color="auto"/>
            </w:tcBorders>
          </w:tcPr>
          <w:p w14:paraId="749FB40C" w14:textId="048E632B" w:rsidR="00275D8B" w:rsidRPr="00275D8B" w:rsidRDefault="00275D8B" w:rsidP="00DB08FE">
            <w:pPr>
              <w:spacing w:line="240" w:lineRule="auto"/>
              <w:jc w:val="center"/>
              <w:rPr>
                <w:rFonts w:ascii="Times New Roman" w:hAnsi="Times New Roman" w:cs="Times New Roman"/>
              </w:rPr>
            </w:pPr>
          </w:p>
        </w:tc>
      </w:tr>
      <w:tr w:rsidR="00275D8B" w:rsidRPr="008F57B9" w14:paraId="469E47A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3E27AC9"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Barošana</w:t>
            </w:r>
          </w:p>
        </w:tc>
        <w:tc>
          <w:tcPr>
            <w:tcW w:w="4537" w:type="dxa"/>
            <w:tcBorders>
              <w:top w:val="single" w:sz="4" w:space="0" w:color="auto"/>
              <w:left w:val="single" w:sz="4" w:space="0" w:color="auto"/>
              <w:bottom w:val="single" w:sz="4" w:space="0" w:color="auto"/>
              <w:right w:val="single" w:sz="4" w:space="0" w:color="auto"/>
            </w:tcBorders>
          </w:tcPr>
          <w:p w14:paraId="028D64DD" w14:textId="77777777" w:rsidR="00275D8B" w:rsidRPr="00275D8B" w:rsidRDefault="00275D8B" w:rsidP="00DB08FE">
            <w:pPr>
              <w:spacing w:line="240" w:lineRule="auto"/>
              <w:jc w:val="center"/>
              <w:rPr>
                <w:rFonts w:ascii="Times New Roman" w:hAnsi="Times New Roman" w:cs="Times New Roman"/>
              </w:rPr>
            </w:pPr>
            <w:r w:rsidRPr="00275D8B">
              <w:rPr>
                <w:rStyle w:val="feature-value"/>
                <w:rFonts w:ascii="Times New Roman" w:hAnsi="Times New Roman" w:cs="Times New Roman"/>
              </w:rPr>
              <w:t>Autonoma (2 x AAA vai 2xAA)</w:t>
            </w:r>
          </w:p>
        </w:tc>
        <w:tc>
          <w:tcPr>
            <w:tcW w:w="6094" w:type="dxa"/>
            <w:tcBorders>
              <w:top w:val="single" w:sz="4" w:space="0" w:color="auto"/>
              <w:left w:val="single" w:sz="4" w:space="0" w:color="auto"/>
              <w:bottom w:val="single" w:sz="4" w:space="0" w:color="auto"/>
              <w:right w:val="single" w:sz="4" w:space="0" w:color="auto"/>
            </w:tcBorders>
          </w:tcPr>
          <w:p w14:paraId="05631EB9" w14:textId="657F1D72" w:rsidR="00275D8B" w:rsidRPr="00275D8B" w:rsidRDefault="00275D8B" w:rsidP="00DB08FE">
            <w:pPr>
              <w:spacing w:line="240" w:lineRule="auto"/>
              <w:jc w:val="center"/>
              <w:rPr>
                <w:rFonts w:ascii="Times New Roman" w:hAnsi="Times New Roman" w:cs="Times New Roman"/>
                <w:highlight w:val="yellow"/>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bookmarkStart w:id="0" w:name="_GoBack"/>
      <w:bookmarkEnd w:id="0"/>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FD6C042"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BB561E">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75D8B"/>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B561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feature-value">
    <w:name w:val="feature-value"/>
    <w:basedOn w:val="DefaultParagraphFont"/>
    <w:rsid w:val="0027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D6CA-76D3-4EA4-97DA-9430A08C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1842</Words>
  <Characters>1051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103</cp:revision>
  <cp:lastPrinted>2018-04-05T08:48:00Z</cp:lastPrinted>
  <dcterms:created xsi:type="dcterms:W3CDTF">2018-01-11T07:33:00Z</dcterms:created>
  <dcterms:modified xsi:type="dcterms:W3CDTF">2018-07-27T09:22:00Z</dcterms:modified>
</cp:coreProperties>
</file>