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5556B6FE"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6B0ED3">
        <w:rPr>
          <w:rFonts w:ascii="Times New Roman" w:eastAsia="Cambria" w:hAnsi="Times New Roman" w:cs="Times New Roman"/>
          <w:bCs/>
          <w:kern w:val="56"/>
          <w:sz w:val="20"/>
          <w:szCs w:val="20"/>
        </w:rPr>
        <w:t>52</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3A4E42AD"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6B0ED3">
              <w:rPr>
                <w:rFonts w:ascii="Times New Roman" w:eastAsia="Cambria" w:hAnsi="Times New Roman" w:cs="Times New Roman"/>
                <w:color w:val="000000"/>
                <w:kern w:val="56"/>
                <w:sz w:val="24"/>
                <w:szCs w:val="24"/>
              </w:rPr>
              <w:t xml:space="preserve">Laboratorijas rotācijas </w:t>
            </w:r>
            <w:proofErr w:type="spellStart"/>
            <w:r w:rsidR="006B0ED3">
              <w:rPr>
                <w:rFonts w:ascii="Times New Roman" w:eastAsia="Cambria" w:hAnsi="Times New Roman" w:cs="Times New Roman"/>
                <w:color w:val="000000"/>
                <w:kern w:val="56"/>
                <w:sz w:val="24"/>
                <w:szCs w:val="24"/>
              </w:rPr>
              <w:t>viskozimetra</w:t>
            </w:r>
            <w:proofErr w:type="spellEnd"/>
            <w:r w:rsidR="006B0ED3">
              <w:rPr>
                <w:rFonts w:ascii="Times New Roman" w:eastAsia="Cambria" w:hAnsi="Times New Roman" w:cs="Times New Roman"/>
                <w:color w:val="000000"/>
                <w:kern w:val="56"/>
                <w:sz w:val="24"/>
                <w:szCs w:val="24"/>
              </w:rPr>
              <w:t xml:space="preserve"> iegāde</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6B0ED3">
              <w:rPr>
                <w:rFonts w:ascii="Times New Roman" w:eastAsia="Cambria" w:hAnsi="Times New Roman" w:cs="Times New Roman"/>
                <w:color w:val="000000"/>
                <w:kern w:val="56"/>
                <w:sz w:val="24"/>
                <w:szCs w:val="24"/>
              </w:rPr>
              <w:t>52)</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3000983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00836A85">
              <w:rPr>
                <w:rFonts w:ascii="Times New Roman" w:eastAsia="Times New Roman" w:hAnsi="Times New Roman" w:cs="Times New Roman"/>
                <w:color w:val="000000"/>
                <w:sz w:val="24"/>
                <w:szCs w:val="24"/>
                <w:lang w:eastAsia="lv-LV"/>
              </w:rPr>
              <w:t xml:space="preserve"> un veikta darbinieku instruktāža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5F288CC8"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6B0ED3">
              <w:rPr>
                <w:rFonts w:ascii="Times New Roman" w:eastAsia="Cambria" w:hAnsi="Times New Roman" w:cs="Times New Roman"/>
                <w:color w:val="000000"/>
                <w:kern w:val="56"/>
                <w:sz w:val="24"/>
                <w:szCs w:val="24"/>
              </w:rPr>
              <w:t xml:space="preserve">Laboratorijas rotācijas </w:t>
            </w:r>
            <w:proofErr w:type="spellStart"/>
            <w:r w:rsidR="006B0ED3">
              <w:rPr>
                <w:rFonts w:ascii="Times New Roman" w:eastAsia="Cambria" w:hAnsi="Times New Roman" w:cs="Times New Roman"/>
                <w:color w:val="000000"/>
                <w:kern w:val="56"/>
                <w:sz w:val="24"/>
                <w:szCs w:val="24"/>
              </w:rPr>
              <w:t>viskozimetra</w:t>
            </w:r>
            <w:proofErr w:type="spellEnd"/>
            <w:r w:rsidR="006B0ED3">
              <w:rPr>
                <w:rFonts w:ascii="Times New Roman" w:eastAsia="Cambria" w:hAnsi="Times New Roman" w:cs="Times New Roman"/>
                <w:color w:val="000000"/>
                <w:kern w:val="56"/>
                <w:sz w:val="24"/>
                <w:szCs w:val="24"/>
              </w:rPr>
              <w:t xml:space="preserve"> iegāde</w:t>
            </w:r>
            <w:r w:rsidR="0028795B" w:rsidRPr="001A1325">
              <w:rPr>
                <w:rFonts w:ascii="Times New Roman" w:eastAsia="Cambria" w:hAnsi="Times New Roman" w:cs="Times New Roman"/>
                <w:color w:val="000000"/>
                <w:kern w:val="56"/>
                <w:sz w:val="24"/>
                <w:szCs w:val="24"/>
              </w:rPr>
              <w:t>”</w:t>
            </w:r>
            <w:r w:rsidR="002757BB">
              <w:rPr>
                <w:rFonts w:ascii="Times New Roman" w:eastAsia="Times New Roman" w:hAnsi="Times New Roman" w:cs="Times New Roman"/>
                <w:color w:val="000000"/>
                <w:sz w:val="24"/>
                <w:szCs w:val="24"/>
                <w:lang w:eastAsia="lv-LV"/>
              </w:rPr>
              <w:t>, iepirkuma ID Nr. RTU-2018/</w:t>
            </w:r>
            <w:r w:rsidR="006B0ED3">
              <w:rPr>
                <w:rFonts w:ascii="Times New Roman" w:eastAsia="Times New Roman" w:hAnsi="Times New Roman" w:cs="Times New Roman"/>
                <w:color w:val="000000"/>
                <w:sz w:val="24"/>
                <w:szCs w:val="24"/>
                <w:lang w:eastAsia="lv-LV"/>
              </w:rPr>
              <w:t>52</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9548D3A" w14:textId="77777777" w:rsidR="006B0ED3" w:rsidRDefault="00327A8F" w:rsidP="006B0ED3">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6B6CF672" w:rsidR="00327A8F" w:rsidRPr="006B0ED3" w:rsidRDefault="00327A8F" w:rsidP="006B0ED3">
            <w:pPr>
              <w:numPr>
                <w:ilvl w:val="0"/>
                <w:numId w:val="8"/>
              </w:numPr>
              <w:tabs>
                <w:tab w:val="left" w:pos="611"/>
              </w:tabs>
              <w:ind w:left="611" w:hanging="568"/>
              <w:contextualSpacing/>
              <w:rPr>
                <w:rFonts w:ascii="Times New Roman" w:eastAsia="Cambria" w:hAnsi="Times New Roman" w:cs="Times New Roman"/>
                <w:bCs/>
                <w:color w:val="000000"/>
                <w:kern w:val="56"/>
                <w:sz w:val="24"/>
                <w:szCs w:val="24"/>
              </w:rPr>
            </w:pPr>
            <w:r w:rsidRPr="006B0ED3">
              <w:rPr>
                <w:rFonts w:ascii="Times New Roman" w:eastAsia="Times New Roman" w:hAnsi="Times New Roman" w:cs="Times New Roman"/>
                <w:b/>
                <w:color w:val="000000"/>
                <w:sz w:val="24"/>
                <w:szCs w:val="24"/>
                <w:lang w:eastAsia="lv-LV"/>
              </w:rPr>
              <w:t xml:space="preserve">Projekts - </w:t>
            </w:r>
            <w:r w:rsidRPr="006B0ED3">
              <w:rPr>
                <w:rFonts w:ascii="Times New Roman" w:eastAsia="Cambria" w:hAnsi="Times New Roman" w:cs="Times New Roman"/>
                <w:bCs/>
                <w:color w:val="000000"/>
                <w:kern w:val="56"/>
                <w:sz w:val="24"/>
                <w:szCs w:val="24"/>
              </w:rPr>
              <w:t>Eiropas Savienības fonda</w:t>
            </w:r>
            <w:r w:rsidR="001A1325" w:rsidRPr="006B0ED3">
              <w:rPr>
                <w:rFonts w:ascii="Times New Roman" w:eastAsia="Cambria" w:hAnsi="Times New Roman" w:cs="Times New Roman"/>
                <w:bCs/>
                <w:color w:val="000000"/>
                <w:kern w:val="56"/>
                <w:sz w:val="24"/>
                <w:szCs w:val="24"/>
              </w:rPr>
              <w:t xml:space="preserve"> </w:t>
            </w:r>
            <w:r w:rsidR="006B0ED3" w:rsidRPr="006B0ED3">
              <w:rPr>
                <w:rFonts w:ascii="Times New Roman" w:eastAsia="Cambria" w:hAnsi="Times New Roman" w:cs="Times New Roman"/>
                <w:bCs/>
                <w:color w:val="000000"/>
                <w:kern w:val="56"/>
                <w:sz w:val="24"/>
                <w:szCs w:val="24"/>
              </w:rPr>
              <w:t>projekts</w:t>
            </w:r>
            <w:r w:rsidR="006B0ED3" w:rsidRPr="006B0ED3">
              <w:rPr>
                <w:rFonts w:ascii="Times New Roman" w:eastAsia="Cambria" w:hAnsi="Times New Roman" w:cs="Times New Roman"/>
                <w:bCs/>
                <w:color w:val="000000"/>
                <w:kern w:val="56"/>
                <w:sz w:val="24"/>
                <w:szCs w:val="24"/>
              </w:rPr>
              <w:t xml:space="preserve"> “Virsmas īpašību ietekmes uz </w:t>
            </w:r>
            <w:proofErr w:type="spellStart"/>
            <w:r w:rsidR="006B0ED3" w:rsidRPr="006B0ED3">
              <w:rPr>
                <w:rFonts w:ascii="Times New Roman" w:eastAsia="Cambria" w:hAnsi="Times New Roman" w:cs="Times New Roman"/>
                <w:bCs/>
                <w:color w:val="000000"/>
                <w:kern w:val="56"/>
                <w:sz w:val="24"/>
                <w:szCs w:val="24"/>
              </w:rPr>
              <w:t>slīdamību</w:t>
            </w:r>
            <w:proofErr w:type="spellEnd"/>
            <w:r w:rsidR="006B0ED3" w:rsidRPr="006B0ED3">
              <w:rPr>
                <w:rFonts w:ascii="Times New Roman" w:eastAsia="Cambria" w:hAnsi="Times New Roman" w:cs="Times New Roman"/>
                <w:bCs/>
                <w:color w:val="000000"/>
                <w:kern w:val="56"/>
                <w:sz w:val="24"/>
                <w:szCs w:val="24"/>
              </w:rPr>
              <w:t xml:space="preserve"> pa ledu pētījumi”, Vienošanās Nr. 1.1.1.1/16/A/129, (PVS ID 2584).</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3A3FA3A" w14:textId="4E376AA0" w:rsidR="00327A8F" w:rsidRDefault="00327A8F" w:rsidP="00D312E8">
            <w:pPr>
              <w:contextualSpacing/>
              <w:rPr>
                <w:rFonts w:ascii="Times New Roman" w:eastAsia="Times New Roman" w:hAnsi="Times New Roman" w:cs="Times New Roman"/>
                <w:b/>
                <w:color w:val="000000"/>
                <w:sz w:val="24"/>
                <w:szCs w:val="24"/>
                <w:lang w:eastAsia="lv-LV"/>
              </w:rPr>
            </w:pPr>
          </w:p>
          <w:p w14:paraId="3F0255AA" w14:textId="77777777" w:rsidR="006B0ED3" w:rsidRPr="00D312E8" w:rsidRDefault="006B0ED3"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lastRenderedPageBreak/>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5AACC317" w:rsidR="00327A8F" w:rsidRPr="006B0ED3"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30C5303C" w14:textId="5E9C6434" w:rsidR="006B0ED3" w:rsidRPr="00836A85" w:rsidRDefault="00836A85" w:rsidP="00D312E8">
            <w:pPr>
              <w:numPr>
                <w:ilvl w:val="1"/>
                <w:numId w:val="12"/>
              </w:numPr>
              <w:ind w:left="611" w:hanging="611"/>
              <w:contextualSpacing/>
              <w:rPr>
                <w:rFonts w:ascii="Times New Roman" w:eastAsia="Cambria" w:hAnsi="Times New Roman" w:cs="Times New Roman"/>
                <w:color w:val="000000"/>
                <w:kern w:val="56"/>
                <w:sz w:val="24"/>
                <w:szCs w:val="24"/>
              </w:rPr>
            </w:pPr>
            <w:r w:rsidRPr="00836A85">
              <w:rPr>
                <w:rFonts w:ascii="Times New Roman" w:eastAsia="Cambria" w:hAnsi="Times New Roman" w:cs="Times New Roman"/>
                <w:color w:val="000000"/>
                <w:kern w:val="56"/>
                <w:sz w:val="24"/>
                <w:szCs w:val="24"/>
              </w:rPr>
              <w:t>Līgumcenu</w:t>
            </w:r>
            <w:r>
              <w:rPr>
                <w:rFonts w:ascii="Times New Roman" w:eastAsia="Cambria" w:hAnsi="Times New Roman" w:cs="Times New Roman"/>
                <w:color w:val="000000"/>
                <w:kern w:val="56"/>
                <w:sz w:val="24"/>
                <w:szCs w:val="24"/>
              </w:rPr>
              <w:t xml:space="preserve"> pasūtītājs samaksā 30 (trīsdesmit) dienu laikā pēc Akta un pavadzīmes parakstīšanas.   </w:t>
            </w:r>
            <w:r w:rsidRPr="00836A85">
              <w:rPr>
                <w:rFonts w:ascii="Times New Roman" w:eastAsia="Cambria" w:hAnsi="Times New Roman" w:cs="Times New Roman"/>
                <w:color w:val="000000"/>
                <w:kern w:val="56"/>
                <w:sz w:val="24"/>
                <w:szCs w:val="24"/>
              </w:rPr>
              <w:t xml:space="preserve"> </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1BE9C00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B0ED3">
              <w:rPr>
                <w:rFonts w:ascii="Times New Roman" w:eastAsia="Times New Roman" w:hAnsi="Times New Roman" w:cs="Times New Roman"/>
                <w:color w:val="000000"/>
                <w:sz w:val="24"/>
                <w:szCs w:val="24"/>
                <w:lang w:eastAsia="lv-LV"/>
              </w:rPr>
              <w:t>3</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B0ED3">
              <w:rPr>
                <w:rFonts w:ascii="Times New Roman" w:eastAsia="Times New Roman" w:hAnsi="Times New Roman" w:cs="Times New Roman"/>
                <w:color w:val="000000"/>
                <w:sz w:val="24"/>
                <w:szCs w:val="24"/>
                <w:lang w:eastAsia="lv-LV"/>
              </w:rPr>
              <w:t>trīs</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115BE4E1"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 xml:space="preserve">, </w:t>
            </w:r>
            <w:r w:rsidR="00836A85">
              <w:rPr>
                <w:rFonts w:ascii="Times New Roman" w:eastAsia="Times New Roman" w:hAnsi="Times New Roman" w:cs="Times New Roman"/>
                <w:color w:val="000000"/>
                <w:sz w:val="24"/>
                <w:szCs w:val="24"/>
                <w:lang w:eastAsia="lv-LV"/>
              </w:rPr>
              <w:t xml:space="preserve">Paula </w:t>
            </w:r>
            <w:proofErr w:type="spellStart"/>
            <w:r w:rsidR="00836A85">
              <w:rPr>
                <w:rFonts w:ascii="Times New Roman" w:eastAsia="Times New Roman" w:hAnsi="Times New Roman" w:cs="Times New Roman"/>
                <w:color w:val="000000"/>
                <w:sz w:val="24"/>
                <w:szCs w:val="24"/>
                <w:lang w:eastAsia="lv-LV"/>
              </w:rPr>
              <w:t>Valdena</w:t>
            </w:r>
            <w:proofErr w:type="spellEnd"/>
            <w:r w:rsidR="00632A41">
              <w:rPr>
                <w:rFonts w:ascii="Times New Roman" w:eastAsia="Times New Roman" w:hAnsi="Times New Roman" w:cs="Times New Roman"/>
                <w:color w:val="000000"/>
                <w:sz w:val="24"/>
                <w:szCs w:val="24"/>
                <w:lang w:eastAsia="lv-LV"/>
              </w:rPr>
              <w:t xml:space="preserve"> iela </w:t>
            </w:r>
            <w:r w:rsidR="00836A85">
              <w:rPr>
                <w:rFonts w:ascii="Times New Roman" w:eastAsia="Times New Roman" w:hAnsi="Times New Roman" w:cs="Times New Roman"/>
                <w:color w:val="000000"/>
                <w:sz w:val="24"/>
                <w:szCs w:val="24"/>
                <w:lang w:eastAsia="lv-LV"/>
              </w:rPr>
              <w:t>3/7</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4D03CBE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Garantijas laikā Piegādātājam ir pienākums Preces Defekta gadījumā par saviem līdzekļiem veikt bojātās daļas nom</w:t>
            </w:r>
            <w:r w:rsidR="00836A85">
              <w:rPr>
                <w:rFonts w:ascii="Times New Roman" w:eastAsia="Cambria" w:hAnsi="Times New Roman" w:cs="Times New Roman"/>
                <w:color w:val="000000"/>
                <w:kern w:val="56"/>
                <w:sz w:val="24"/>
                <w:szCs w:val="24"/>
              </w:rPr>
              <w:t xml:space="preserve">aiņu vai remontu, </w:t>
            </w:r>
            <w:r w:rsidRPr="00D312E8">
              <w:rPr>
                <w:rFonts w:ascii="Times New Roman" w:eastAsia="Cambria" w:hAnsi="Times New Roman" w:cs="Times New Roman"/>
                <w:color w:val="000000"/>
                <w:kern w:val="56"/>
                <w:sz w:val="24"/>
                <w:szCs w:val="24"/>
              </w:rPr>
              <w:t xml:space="preserve">ne vēlāk kā </w:t>
            </w:r>
            <w:r w:rsidR="00836A85">
              <w:rPr>
                <w:rFonts w:ascii="Times New Roman" w:eastAsia="Cambria" w:hAnsi="Times New Roman" w:cs="Times New Roman"/>
                <w:color w:val="000000"/>
                <w:kern w:val="56"/>
                <w:sz w:val="24"/>
                <w:szCs w:val="24"/>
              </w:rPr>
              <w:t xml:space="preserve">7 </w:t>
            </w:r>
            <w:r w:rsidRPr="003031AA">
              <w:rPr>
                <w:rFonts w:ascii="Times New Roman" w:eastAsia="Cambria" w:hAnsi="Times New Roman" w:cs="Times New Roman"/>
                <w:color w:val="000000"/>
                <w:kern w:val="56"/>
                <w:sz w:val="24"/>
                <w:szCs w:val="24"/>
              </w:rPr>
              <w:t>(</w:t>
            </w:r>
            <w:r w:rsidR="00836A85">
              <w:rPr>
                <w:rFonts w:ascii="Times New Roman" w:eastAsia="Cambria" w:hAnsi="Times New Roman" w:cs="Times New Roman"/>
                <w:color w:val="000000"/>
                <w:kern w:val="56"/>
                <w:sz w:val="24"/>
                <w:szCs w:val="24"/>
              </w:rPr>
              <w:t>septiņu</w:t>
            </w:r>
            <w:r w:rsidRPr="003031AA">
              <w:rPr>
                <w:rFonts w:ascii="Times New Roman" w:eastAsia="Cambria" w:hAnsi="Times New Roman" w:cs="Times New Roman"/>
                <w:color w:val="000000"/>
                <w:kern w:val="56"/>
                <w:sz w:val="24"/>
                <w:szCs w:val="24"/>
              </w:rPr>
              <w:t xml:space="preserve">) </w:t>
            </w:r>
            <w:r w:rsidR="00836A85">
              <w:rPr>
                <w:rFonts w:ascii="Times New Roman" w:eastAsia="Cambria" w:hAnsi="Times New Roman" w:cs="Times New Roman"/>
                <w:color w:val="000000"/>
                <w:kern w:val="56"/>
                <w:sz w:val="24"/>
                <w:szCs w:val="24"/>
              </w:rPr>
              <w:t>kalendāro</w:t>
            </w:r>
            <w:r w:rsidRPr="003031AA">
              <w:rPr>
                <w:rFonts w:ascii="Times New Roman" w:eastAsia="Cambria" w:hAnsi="Times New Roman" w:cs="Times New Roman"/>
                <w:color w:val="000000"/>
                <w:kern w:val="56"/>
                <w:sz w:val="24"/>
                <w:szCs w:val="24"/>
              </w:rPr>
              <w:t xml:space="preserve"> dienu l</w:t>
            </w:r>
            <w:r w:rsidRPr="00D312E8">
              <w:rPr>
                <w:rFonts w:ascii="Times New Roman" w:eastAsia="Cambria" w:hAnsi="Times New Roman" w:cs="Times New Roman"/>
                <w:color w:val="000000"/>
                <w:kern w:val="56"/>
                <w:sz w:val="24"/>
                <w:szCs w:val="24"/>
              </w:rPr>
              <w:t>aikā pēc Pasūtītāja Defektu A</w:t>
            </w:r>
            <w:r w:rsidR="00836A85">
              <w:rPr>
                <w:rFonts w:ascii="Times New Roman" w:eastAsia="Cambria" w:hAnsi="Times New Roman" w:cs="Times New Roman"/>
                <w:color w:val="000000"/>
                <w:kern w:val="56"/>
                <w:sz w:val="24"/>
                <w:szCs w:val="24"/>
              </w:rPr>
              <w:t xml:space="preserve">kta saņemšanas dienas, vai garākā termiņā, par to attiecīgi vienojoties. </w:t>
            </w:r>
          </w:p>
          <w:p w14:paraId="79827116" w14:textId="51D4D57B"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w:t>
            </w:r>
            <w:r w:rsidR="00836A85">
              <w:rPr>
                <w:rFonts w:ascii="Times New Roman" w:eastAsia="Cambria" w:hAnsi="Times New Roman" w:cs="Times New Roman"/>
                <w:color w:val="000000"/>
                <w:kern w:val="56"/>
                <w:sz w:val="24"/>
                <w:szCs w:val="24"/>
              </w:rPr>
              <w:t>ītu attiecīgo Preci</w:t>
            </w:r>
            <w:r w:rsidRPr="00D312E8">
              <w:rPr>
                <w:rFonts w:ascii="Times New Roman" w:eastAsia="Cambria" w:hAnsi="Times New Roman" w:cs="Times New Roman"/>
                <w:color w:val="000000"/>
                <w:kern w:val="56"/>
                <w:sz w:val="24"/>
                <w:szCs w:val="24"/>
              </w:rPr>
              <w:t xml:space="preserve">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25B16F26" w:rsidR="00327A8F" w:rsidRDefault="00327A8F" w:rsidP="00D312E8">
            <w:pPr>
              <w:contextualSpacing/>
              <w:rPr>
                <w:rFonts w:ascii="Times New Roman" w:eastAsia="Cambria" w:hAnsi="Times New Roman" w:cs="Times New Roman"/>
                <w:color w:val="000000"/>
                <w:kern w:val="56"/>
                <w:sz w:val="24"/>
                <w:szCs w:val="24"/>
              </w:rPr>
            </w:pPr>
          </w:p>
          <w:p w14:paraId="2301DAAD" w14:textId="77777777" w:rsidR="00836A85" w:rsidRPr="00D312E8" w:rsidRDefault="00836A85"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lastRenderedPageBreak/>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bookmarkStart w:id="0" w:name="_GoBack"/>
        <w:bookmarkEnd w:id="0"/>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Adrese/ </w:t>
            </w:r>
            <w:proofErr w:type="spellStart"/>
            <w:r w:rsidRPr="00D312E8">
              <w:rPr>
                <w:rFonts w:ascii="Times New Roman" w:eastAsia="Cambria" w:hAnsi="Times New Roman" w:cs="Times New Roman"/>
                <w:kern w:val="56"/>
                <w:sz w:val="24"/>
                <w:szCs w:val="24"/>
              </w:rPr>
              <w:t>Address</w:t>
            </w:r>
            <w:proofErr w:type="spellEnd"/>
            <w:r w:rsidRPr="00D312E8">
              <w:rPr>
                <w:rFonts w:ascii="Times New Roman" w:eastAsia="Cambria" w:hAnsi="Times New Roman" w:cs="Times New Roman"/>
                <w:kern w:val="56"/>
                <w:sz w:val="24"/>
                <w:szCs w:val="24"/>
              </w:rPr>
              <w:t xml:space="preserve">: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3542DFD9" w:rsidR="003031AA" w:rsidRDefault="00836A85"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numurs:</w:t>
            </w:r>
          </w:p>
          <w:p w14:paraId="3BD9430C" w14:textId="77777777" w:rsidR="00327A8F" w:rsidRPr="00D312E8" w:rsidRDefault="00327A8F" w:rsidP="00D312E8">
            <w:pPr>
              <w:rPr>
                <w:rFonts w:ascii="Times New Roman" w:eastAsia="Cambria" w:hAnsi="Times New Roman" w:cs="Times New Roman"/>
                <w:kern w:val="56"/>
                <w:sz w:val="24"/>
                <w:szCs w:val="24"/>
              </w:rPr>
            </w:pP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836A85"/>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272D3"/>
    <w:rsid w:val="00252D41"/>
    <w:rsid w:val="002757BB"/>
    <w:rsid w:val="0028795B"/>
    <w:rsid w:val="003031AA"/>
    <w:rsid w:val="00327A8F"/>
    <w:rsid w:val="00550088"/>
    <w:rsid w:val="005D62F6"/>
    <w:rsid w:val="005E3E04"/>
    <w:rsid w:val="00632A41"/>
    <w:rsid w:val="006B0ED3"/>
    <w:rsid w:val="00836A85"/>
    <w:rsid w:val="00877B5C"/>
    <w:rsid w:val="00885863"/>
    <w:rsid w:val="008B6764"/>
    <w:rsid w:val="009A7877"/>
    <w:rsid w:val="009C5EDC"/>
    <w:rsid w:val="00AA046A"/>
    <w:rsid w:val="00B35566"/>
    <w:rsid w:val="00C3283F"/>
    <w:rsid w:val="00CC62EB"/>
    <w:rsid w:val="00D06B97"/>
    <w:rsid w:val="00D312E8"/>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6AC1-3A63-48AE-A22F-A8C9CEA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10482</Words>
  <Characters>5975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16</cp:revision>
  <cp:lastPrinted>2018-01-25T08:09:00Z</cp:lastPrinted>
  <dcterms:created xsi:type="dcterms:W3CDTF">2018-01-23T12:26:00Z</dcterms:created>
  <dcterms:modified xsi:type="dcterms:W3CDTF">2018-05-21T09:05:00Z</dcterms:modified>
</cp:coreProperties>
</file>