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bookmarkStart w:id="0" w:name="_GoBack"/>
      <w:bookmarkEnd w:id="0"/>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36EB02E1" w:rsidR="006E60CE" w:rsidRDefault="00AC398D" w:rsidP="00683BA8">
      <w:pPr>
        <w:jc w:val="right"/>
        <w:rPr>
          <w:lang w:val="lv-LV"/>
        </w:rPr>
      </w:pPr>
      <w:r>
        <w:rPr>
          <w:lang w:val="lv-LV"/>
        </w:rPr>
        <w:t>21</w:t>
      </w:r>
      <w:r w:rsidR="00A72175">
        <w:rPr>
          <w:lang w:val="lv-LV"/>
        </w:rPr>
        <w:t>.05</w:t>
      </w:r>
      <w:r w:rsidR="006E60CE" w:rsidRPr="00CB3822">
        <w:rPr>
          <w:lang w:val="lv-LV"/>
        </w:rPr>
        <w:t>.2018.</w:t>
      </w:r>
      <w:r w:rsidR="006E60CE">
        <w:rPr>
          <w:lang w:val="lv-LV"/>
        </w:rPr>
        <w:t xml:space="preserve">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5F2AFFD3" w:rsidR="00A27E9B" w:rsidRPr="00535DA1" w:rsidRDefault="00A66B9C" w:rsidP="00535DA1">
      <w:pPr>
        <w:jc w:val="center"/>
        <w:rPr>
          <w:bCs/>
          <w:sz w:val="32"/>
          <w:szCs w:val="32"/>
          <w:lang w:val="lv-LV"/>
        </w:rPr>
      </w:pPr>
      <w:r w:rsidRPr="00631875">
        <w:rPr>
          <w:sz w:val="32"/>
          <w:szCs w:val="32"/>
          <w:lang w:val="lv-LV"/>
        </w:rPr>
        <w:t>“</w:t>
      </w:r>
      <w:r w:rsidR="0005371B">
        <w:rPr>
          <w:bCs/>
          <w:sz w:val="32"/>
          <w:szCs w:val="32"/>
          <w:lang w:val="lv-LV"/>
        </w:rPr>
        <w:t xml:space="preserve">Laboratorijas rotācijas </w:t>
      </w:r>
      <w:proofErr w:type="spellStart"/>
      <w:r w:rsidR="0005371B">
        <w:rPr>
          <w:bCs/>
          <w:sz w:val="32"/>
          <w:szCs w:val="32"/>
          <w:lang w:val="lv-LV"/>
        </w:rPr>
        <w:t>viskozimetra</w:t>
      </w:r>
      <w:proofErr w:type="spellEnd"/>
      <w:r w:rsidR="0005371B">
        <w:rPr>
          <w:bCs/>
          <w:sz w:val="32"/>
          <w:szCs w:val="32"/>
          <w:lang w:val="lv-LV"/>
        </w:rPr>
        <w:t xml:space="preserve"> iegāde</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55813400"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A72175">
        <w:rPr>
          <w:lang w:val="lv-LV"/>
        </w:rPr>
        <w:t>52</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634EB6C4"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A72175">
        <w:rPr>
          <w:lang w:val="lv-LV"/>
        </w:rPr>
        <w:t>52</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375B216" w14:textId="63266C6E" w:rsidR="00216295" w:rsidRPr="00A913F2" w:rsidRDefault="00B82CDD" w:rsidP="00A913F2">
      <w:pPr>
        <w:pStyle w:val="ListParagraph"/>
        <w:numPr>
          <w:ilvl w:val="1"/>
          <w:numId w:val="4"/>
        </w:numPr>
        <w:ind w:left="567" w:hanging="567"/>
        <w:jc w:val="both"/>
        <w:rPr>
          <w:color w:val="000000"/>
          <w:spacing w:val="-1"/>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056CB3">
        <w:rPr>
          <w:color w:val="000000"/>
          <w:spacing w:val="-1"/>
          <w:lang w:val="lv-LV"/>
        </w:rPr>
        <w:t>“</w:t>
      </w:r>
      <w:r w:rsidR="00056CB3" w:rsidRPr="00056CB3">
        <w:rPr>
          <w:color w:val="000000"/>
          <w:spacing w:val="-1"/>
          <w:lang w:val="lv-LV"/>
        </w:rPr>
        <w:t xml:space="preserve">Laboratorijas rotācijas </w:t>
      </w:r>
      <w:proofErr w:type="spellStart"/>
      <w:r w:rsidR="00056CB3" w:rsidRPr="00056CB3">
        <w:rPr>
          <w:color w:val="000000"/>
          <w:spacing w:val="-1"/>
          <w:lang w:val="lv-LV"/>
        </w:rPr>
        <w:t>viskozimetra</w:t>
      </w:r>
      <w:proofErr w:type="spellEnd"/>
      <w:r w:rsidR="00056CB3" w:rsidRPr="00056CB3">
        <w:rPr>
          <w:color w:val="000000"/>
          <w:spacing w:val="-1"/>
          <w:lang w:val="lv-LV"/>
        </w:rPr>
        <w:t xml:space="preserve"> iegāde”</w:t>
      </w:r>
      <w:r w:rsidR="00A66B9C" w:rsidRPr="00056CB3">
        <w:rPr>
          <w:color w:val="000000"/>
          <w:spacing w:val="-1"/>
          <w:lang w:val="lv-LV"/>
        </w:rPr>
        <w:t>”</w:t>
      </w:r>
      <w:r w:rsidR="00AD6801" w:rsidRPr="00056CB3">
        <w:rPr>
          <w:color w:val="000000"/>
          <w:spacing w:val="-1"/>
          <w:lang w:val="lv-LV"/>
        </w:rPr>
        <w:t>.</w:t>
      </w:r>
      <w:r w:rsidR="00580927">
        <w:rPr>
          <w:color w:val="000000"/>
          <w:spacing w:val="-1"/>
          <w:lang w:val="lv-LV"/>
        </w:rPr>
        <w:t xml:space="preserve"> Konkurss tiek rīkots šāda projekta</w:t>
      </w:r>
      <w:r w:rsidR="00A72175" w:rsidRPr="00056CB3">
        <w:rPr>
          <w:color w:val="000000"/>
          <w:spacing w:val="-1"/>
          <w:lang w:val="lv-LV"/>
        </w:rPr>
        <w:t xml:space="preserve"> vajadzībām:</w:t>
      </w:r>
      <w:r w:rsidR="00A27E9B" w:rsidRPr="00A913F2">
        <w:rPr>
          <w:lang w:val="lv-LV"/>
        </w:rPr>
        <w:t xml:space="preserve"> </w:t>
      </w:r>
      <w:r w:rsidR="0005371B" w:rsidRPr="00A913F2">
        <w:rPr>
          <w:lang w:val="lv-LV"/>
        </w:rPr>
        <w:t>ERAF</w:t>
      </w:r>
      <w:r w:rsidR="009C6CA6" w:rsidRPr="00A913F2">
        <w:rPr>
          <w:lang w:val="lv-LV"/>
        </w:rPr>
        <w:t xml:space="preserve"> </w:t>
      </w:r>
      <w:r w:rsidR="00CB748F" w:rsidRPr="00A913F2">
        <w:rPr>
          <w:lang w:val="lv-LV"/>
        </w:rPr>
        <w:t>projekta</w:t>
      </w:r>
      <w:r w:rsidR="00AD6801" w:rsidRPr="00A913F2">
        <w:rPr>
          <w:lang w:val="lv-LV"/>
        </w:rPr>
        <w:t xml:space="preserve"> </w:t>
      </w:r>
      <w:r w:rsidR="00A66B9C" w:rsidRPr="00A913F2">
        <w:rPr>
          <w:lang w:val="lv-LV"/>
        </w:rPr>
        <w:t>“</w:t>
      </w:r>
      <w:r w:rsidR="0005371B" w:rsidRPr="00A913F2">
        <w:rPr>
          <w:lang w:val="lv-LV"/>
        </w:rPr>
        <w:t xml:space="preserve">Virsmas īpašību ietekmes uz </w:t>
      </w:r>
      <w:proofErr w:type="spellStart"/>
      <w:r w:rsidR="0005371B" w:rsidRPr="00A913F2">
        <w:rPr>
          <w:lang w:val="lv-LV"/>
        </w:rPr>
        <w:t>slīdamību</w:t>
      </w:r>
      <w:proofErr w:type="spellEnd"/>
      <w:r w:rsidR="0005371B" w:rsidRPr="00A913F2">
        <w:rPr>
          <w:lang w:val="lv-LV"/>
        </w:rPr>
        <w:t xml:space="preserve"> pa ledu pētījumi</w:t>
      </w:r>
      <w:r w:rsidR="009F05F9" w:rsidRPr="00A913F2">
        <w:rPr>
          <w:lang w:val="lv-LV"/>
        </w:rPr>
        <w:t xml:space="preserve">”, </w:t>
      </w:r>
      <w:r w:rsidR="009C6CA6" w:rsidRPr="00A913F2">
        <w:rPr>
          <w:lang w:val="lv-LV"/>
        </w:rPr>
        <w:t>Vienošanās</w:t>
      </w:r>
      <w:r w:rsidR="00535DA1" w:rsidRPr="00A913F2">
        <w:rPr>
          <w:lang w:val="lv-LV"/>
        </w:rPr>
        <w:t xml:space="preserve"> Nr.</w:t>
      </w:r>
      <w:r w:rsidR="0005371B" w:rsidRPr="00A913F2">
        <w:rPr>
          <w:lang w:val="lv-LV"/>
        </w:rPr>
        <w:t xml:space="preserve"> </w:t>
      </w:r>
      <w:r w:rsidR="00A913F2" w:rsidRPr="00A913F2">
        <w:rPr>
          <w:lang w:val="lv-LV"/>
        </w:rPr>
        <w:t>1.1.1.1/16/A/129</w:t>
      </w:r>
      <w:r w:rsidR="00A27E9B" w:rsidRPr="00A913F2">
        <w:rPr>
          <w:lang w:val="lv-LV"/>
        </w:rPr>
        <w:t>,</w:t>
      </w:r>
      <w:r w:rsidR="00AD6801" w:rsidRPr="00A913F2">
        <w:rPr>
          <w:lang w:val="lv-LV"/>
        </w:rPr>
        <w:t xml:space="preserve"> </w:t>
      </w:r>
      <w:r w:rsidR="009C6CA6" w:rsidRPr="00A913F2">
        <w:rPr>
          <w:lang w:val="lv-LV"/>
        </w:rPr>
        <w:t xml:space="preserve">īstenošanas </w:t>
      </w:r>
      <w:r w:rsidR="00AD6801" w:rsidRPr="00A913F2">
        <w:rPr>
          <w:lang w:val="lv-LV"/>
        </w:rPr>
        <w:t>ietvaros</w:t>
      </w:r>
      <w:r w:rsidR="002B3592" w:rsidRPr="00A913F2">
        <w:rPr>
          <w:lang w:val="lv-LV"/>
        </w:rPr>
        <w:t xml:space="preserve"> </w:t>
      </w:r>
      <w:r w:rsidR="009F05F9" w:rsidRPr="00A913F2">
        <w:rPr>
          <w:lang w:val="lv-LV"/>
        </w:rPr>
        <w:t xml:space="preserve">(PVS ID </w:t>
      </w:r>
      <w:r w:rsidR="00056CB3" w:rsidRPr="00A913F2">
        <w:rPr>
          <w:lang w:val="lv-LV"/>
        </w:rPr>
        <w:t>2584</w:t>
      </w:r>
      <w:r w:rsidR="002B3592" w:rsidRPr="00A913F2">
        <w:rPr>
          <w:lang w:val="lv-LV"/>
        </w:rPr>
        <w:t>)</w:t>
      </w:r>
      <w:r w:rsidR="00CB748F" w:rsidRPr="00A913F2">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59C2818D" w:rsidR="00633244" w:rsidRPr="00A7217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w:t>
      </w:r>
      <w:r w:rsidR="0005371B">
        <w:rPr>
          <w:lang w:val="lv-LV"/>
        </w:rPr>
        <w:t xml:space="preserve">Laboratorijas rotācijas </w:t>
      </w:r>
      <w:proofErr w:type="spellStart"/>
      <w:r w:rsidR="0005371B">
        <w:rPr>
          <w:lang w:val="lv-LV"/>
        </w:rPr>
        <w:t>viskozimetra</w:t>
      </w:r>
      <w:proofErr w:type="spellEnd"/>
      <w:r w:rsidR="0005371B">
        <w:rPr>
          <w:lang w:val="lv-LV"/>
        </w:rPr>
        <w:t xml:space="preserve"> iegāde </w:t>
      </w:r>
      <w:r w:rsidR="00E14C3C">
        <w:rPr>
          <w:bCs/>
          <w:lang w:val="lv-LV"/>
        </w:rPr>
        <w:t xml:space="preserve">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A72175" w:rsidRPr="00A72175">
        <w:rPr>
          <w:lang w:val="lv-LV"/>
        </w:rPr>
        <w:t xml:space="preserve">nav </w:t>
      </w:r>
      <w:r w:rsidR="007B7902" w:rsidRPr="00A72175">
        <w:rPr>
          <w:lang w:val="lv-LV"/>
        </w:rPr>
        <w:t>sadalīts daļā</w:t>
      </w:r>
      <w:r w:rsidR="00A72175" w:rsidRPr="00A72175">
        <w:rPr>
          <w:lang w:val="lv-LV"/>
        </w:rPr>
        <w:t>s.</w:t>
      </w:r>
    </w:p>
    <w:p w14:paraId="5AED6BF9" w14:textId="6913F31C" w:rsidR="00C61234" w:rsidRPr="00384B1F" w:rsidRDefault="00B80C39" w:rsidP="00B80C39">
      <w:pPr>
        <w:numPr>
          <w:ilvl w:val="2"/>
          <w:numId w:val="4"/>
        </w:numPr>
        <w:suppressAutoHyphens w:val="0"/>
        <w:jc w:val="both"/>
        <w:rPr>
          <w:lang w:val="lv-LV"/>
        </w:rPr>
      </w:pPr>
      <w:r w:rsidRPr="00A72175">
        <w:rPr>
          <w:b/>
          <w:bCs/>
          <w:color w:val="000000"/>
          <w:lang w:val="lv-LV" w:eastAsia="lv-LV"/>
        </w:rPr>
        <w:t xml:space="preserve">Galvenais </w:t>
      </w:r>
      <w:r w:rsidR="0082377E" w:rsidRPr="00A72175">
        <w:rPr>
          <w:b/>
          <w:bCs/>
          <w:color w:val="000000"/>
          <w:lang w:val="lv-LV" w:eastAsia="lv-LV"/>
        </w:rPr>
        <w:t>CPV kods</w:t>
      </w:r>
      <w:r w:rsidR="00CB748F" w:rsidRPr="00A72175">
        <w:rPr>
          <w:b/>
          <w:bCs/>
          <w:color w:val="000000"/>
          <w:lang w:val="lv-LV" w:eastAsia="lv-LV"/>
        </w:rPr>
        <w:t>:</w:t>
      </w:r>
      <w:r w:rsidR="0082377E" w:rsidRPr="00A72175">
        <w:rPr>
          <w:b/>
          <w:bCs/>
          <w:color w:val="000000"/>
          <w:lang w:val="lv-LV" w:eastAsia="lv-LV"/>
        </w:rPr>
        <w:t xml:space="preserve"> </w:t>
      </w:r>
      <w:r w:rsidRPr="00384B1F">
        <w:rPr>
          <w:color w:val="000000"/>
          <w:spacing w:val="-1"/>
          <w:lang w:val="lv-LV"/>
        </w:rPr>
        <w:t xml:space="preserve">38000000-5 (Laboratorijas, optiskās un </w:t>
      </w:r>
      <w:proofErr w:type="spellStart"/>
      <w:r w:rsidRPr="00384B1F">
        <w:rPr>
          <w:color w:val="000000"/>
          <w:spacing w:val="-1"/>
          <w:lang w:val="lv-LV"/>
        </w:rPr>
        <w:t>precīz</w:t>
      </w:r>
      <w:r w:rsidR="0075406F">
        <w:rPr>
          <w:color w:val="000000"/>
          <w:spacing w:val="-1"/>
          <w:lang w:val="lv-LV"/>
        </w:rPr>
        <w:t>ijas</w:t>
      </w:r>
      <w:proofErr w:type="spellEnd"/>
      <w:r w:rsidR="0075406F">
        <w:rPr>
          <w:color w:val="000000"/>
          <w:spacing w:val="-1"/>
          <w:lang w:val="lv-LV"/>
        </w:rPr>
        <w:t xml:space="preserve"> ierīces (izņemot brilles)), </w:t>
      </w:r>
      <w:r w:rsidR="00FA0D20">
        <w:rPr>
          <w:color w:val="000000"/>
          <w:spacing w:val="-1"/>
          <w:lang w:val="lv-LV"/>
        </w:rPr>
        <w:t xml:space="preserve">papildus CPV kods: </w:t>
      </w:r>
      <w:r w:rsidR="00A72175">
        <w:rPr>
          <w:color w:val="000000"/>
          <w:spacing w:val="-1"/>
          <w:lang w:val="lv-LV"/>
        </w:rPr>
        <w:t>38425200-2</w:t>
      </w:r>
      <w:r w:rsidR="00FA0D20">
        <w:rPr>
          <w:color w:val="000000"/>
          <w:spacing w:val="-1"/>
          <w:lang w:val="lv-LV"/>
        </w:rPr>
        <w:t xml:space="preserve"> (</w:t>
      </w:r>
      <w:proofErr w:type="spellStart"/>
      <w:r w:rsidR="00A72175">
        <w:rPr>
          <w:color w:val="000000"/>
          <w:spacing w:val="-1"/>
          <w:lang w:val="lv-LV"/>
        </w:rPr>
        <w:t>Viskozimetri</w:t>
      </w:r>
      <w:proofErr w:type="spellEnd"/>
      <w:r w:rsidR="00FA0D20">
        <w:rPr>
          <w:color w:val="000000"/>
          <w:spacing w:val="-1"/>
          <w:lang w:val="lv-LV"/>
        </w:rPr>
        <w:t>)</w:t>
      </w:r>
      <w:r w:rsidR="0075406F">
        <w:rPr>
          <w:color w:val="000000"/>
          <w:spacing w:val="-1"/>
          <w:lang w:val="lv-LV"/>
        </w:rPr>
        <w:t xml:space="preserve">. </w:t>
      </w:r>
    </w:p>
    <w:p w14:paraId="30A365E1" w14:textId="75D4FAF6" w:rsidR="002E5671" w:rsidRPr="00384B1F" w:rsidRDefault="00A221F2" w:rsidP="00633244">
      <w:pPr>
        <w:numPr>
          <w:ilvl w:val="2"/>
          <w:numId w:val="4"/>
        </w:numPr>
        <w:suppressAutoHyphens w:val="0"/>
        <w:jc w:val="both"/>
        <w:rPr>
          <w:lang w:val="lv-LV"/>
        </w:rPr>
      </w:pPr>
      <w:r w:rsidRPr="00384B1F">
        <w:rPr>
          <w:b/>
          <w:lang w:val="lv-LV"/>
        </w:rPr>
        <w:t>Iepirk</w:t>
      </w:r>
      <w:r w:rsidR="005A33D5" w:rsidRPr="00384B1F">
        <w:rPr>
          <w:b/>
          <w:lang w:val="lv-LV"/>
        </w:rPr>
        <w:t xml:space="preserve">uma priekšmeta </w:t>
      </w:r>
      <w:r w:rsidR="006977F5" w:rsidRPr="00384B1F">
        <w:rPr>
          <w:b/>
          <w:lang w:val="lv-LV"/>
        </w:rPr>
        <w:t>piegādes</w:t>
      </w:r>
      <w:r w:rsidR="005A33D5" w:rsidRPr="00384B1F">
        <w:rPr>
          <w:b/>
          <w:lang w:val="lv-LV"/>
        </w:rPr>
        <w:t xml:space="preserve"> termiņš</w:t>
      </w:r>
      <w:r w:rsidR="004F0691" w:rsidRPr="00384B1F">
        <w:rPr>
          <w:b/>
          <w:lang w:val="lv-LV"/>
        </w:rPr>
        <w:t xml:space="preserve">: </w:t>
      </w:r>
      <w:r w:rsidR="00A913F2">
        <w:rPr>
          <w:lang w:val="lv-LV"/>
        </w:rPr>
        <w:t>ne vēlāk kā</w:t>
      </w:r>
      <w:r w:rsidR="00A72175">
        <w:rPr>
          <w:lang w:val="lv-LV"/>
        </w:rPr>
        <w:t xml:space="preserve"> </w:t>
      </w:r>
      <w:r w:rsidR="00A913F2" w:rsidRPr="00A913F2">
        <w:rPr>
          <w:lang w:val="lv-LV"/>
        </w:rPr>
        <w:t>trīs mēnešu</w:t>
      </w:r>
      <w:r w:rsidR="002E5671" w:rsidRPr="00A913F2">
        <w:rPr>
          <w:lang w:val="lv-LV"/>
        </w:rPr>
        <w:t xml:space="preserve"> laikā no</w:t>
      </w:r>
      <w:r w:rsidR="002E5671" w:rsidRPr="00384B1F">
        <w:rPr>
          <w:lang w:val="lv-LV"/>
        </w:rPr>
        <w:t xml:space="preserve"> iepirkuma līguma noslēgšanas die</w:t>
      </w:r>
      <w:r w:rsidR="00C55946" w:rsidRPr="00384B1F">
        <w:rPr>
          <w:lang w:val="lv-LV"/>
        </w:rPr>
        <w:t>nas.</w:t>
      </w:r>
    </w:p>
    <w:p w14:paraId="0F0C8A55" w14:textId="401348B2" w:rsidR="00C32949" w:rsidRDefault="00C32949" w:rsidP="00633244">
      <w:pPr>
        <w:numPr>
          <w:ilvl w:val="2"/>
          <w:numId w:val="4"/>
        </w:numPr>
        <w:suppressAutoHyphens w:val="0"/>
        <w:jc w:val="both"/>
        <w:rPr>
          <w:lang w:val="lv-LV"/>
        </w:rPr>
      </w:pPr>
      <w:r w:rsidRPr="00384B1F">
        <w:rPr>
          <w:b/>
          <w:lang w:val="lv-LV"/>
        </w:rPr>
        <w:t>Paredzamā līgumcena</w:t>
      </w:r>
      <w:r w:rsidR="00E52035">
        <w:rPr>
          <w:lang w:val="lv-LV"/>
        </w:rPr>
        <w:t xml:space="preserve"> </w:t>
      </w:r>
      <w:r w:rsidR="00A72175">
        <w:rPr>
          <w:lang w:val="lv-LV"/>
        </w:rPr>
        <w:t xml:space="preserve"> 6000 </w:t>
      </w:r>
      <w:r w:rsidR="00E52035">
        <w:rPr>
          <w:lang w:val="lv-LV"/>
        </w:rPr>
        <w:t>EUR bez PVN:</w:t>
      </w:r>
    </w:p>
    <w:p w14:paraId="520D9C80" w14:textId="04ACE5F3" w:rsidR="00CB748F" w:rsidRPr="00A913F2"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A913F2">
        <w:rPr>
          <w:lang w:val="lv-LV"/>
        </w:rPr>
        <w:t xml:space="preserve">Rīga, </w:t>
      </w:r>
      <w:r w:rsidR="0005371B" w:rsidRPr="00A913F2">
        <w:rPr>
          <w:lang w:val="lv-LV"/>
        </w:rPr>
        <w:t xml:space="preserve">Paula </w:t>
      </w:r>
      <w:proofErr w:type="spellStart"/>
      <w:r w:rsidR="0005371B" w:rsidRPr="00A913F2">
        <w:rPr>
          <w:lang w:val="lv-LV"/>
        </w:rPr>
        <w:t>Valdena</w:t>
      </w:r>
      <w:proofErr w:type="spellEnd"/>
      <w:r w:rsidR="00CF174B" w:rsidRPr="00A913F2">
        <w:rPr>
          <w:lang w:val="lv-LV"/>
        </w:rPr>
        <w:t xml:space="preserve"> iela </w:t>
      </w:r>
      <w:r w:rsidR="0005371B" w:rsidRPr="00A913F2">
        <w:rPr>
          <w:lang w:val="lv-LV"/>
        </w:rPr>
        <w:t>3/7</w:t>
      </w:r>
      <w:r w:rsidR="00CF174B" w:rsidRPr="00A913F2">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proofErr w:type="spellStart"/>
      <w:r w:rsidR="0031774D" w:rsidRPr="005757F4">
        <w:rPr>
          <w:bCs/>
        </w:rPr>
        <w:t>L</w:t>
      </w:r>
      <w:r w:rsidRPr="005757F4">
        <w:rPr>
          <w:bCs/>
        </w:rPr>
        <w:t>īgum</w:t>
      </w:r>
      <w:r w:rsidR="0031774D" w:rsidRPr="005757F4">
        <w:rPr>
          <w:bCs/>
        </w:rPr>
        <w:t>a</w:t>
      </w:r>
      <w:proofErr w:type="spellEnd"/>
      <w:r w:rsidR="0031774D" w:rsidRPr="005757F4">
        <w:rPr>
          <w:bCs/>
        </w:rPr>
        <w:t xml:space="preserve"> </w:t>
      </w:r>
      <w:proofErr w:type="spellStart"/>
      <w:r w:rsidR="0031774D" w:rsidRPr="005757F4">
        <w:rPr>
          <w:bCs/>
        </w:rPr>
        <w:t>projekts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28E8E605"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777362">
        <w:rPr>
          <w:lang w:val="lv-LV"/>
        </w:rPr>
        <w:t>.</w:t>
      </w:r>
    </w:p>
    <w:p w14:paraId="718B349F" w14:textId="2FFAB3C7"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5209D7B5"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w:t>
      </w:r>
      <w:r w:rsidR="0005371B">
        <w:rPr>
          <w:lang w:val="lv-LV"/>
        </w:rPr>
        <w:t>ki visizdevīgākajam</w:t>
      </w:r>
      <w:r w:rsidR="00E1104B">
        <w:rPr>
          <w:lang w:val="lv-LV"/>
        </w:rPr>
        <w:t xml:space="preserve"> piedāvājumam</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0B61DEAE"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5640ED" w:rsidRPr="005640ED">
        <w:rPr>
          <w:b/>
          <w:lang w:val="lv-LV"/>
        </w:rPr>
        <w:t>27</w:t>
      </w:r>
      <w:r w:rsidR="00E56AE9" w:rsidRPr="005640ED">
        <w:rPr>
          <w:b/>
          <w:lang w:val="lv-LV"/>
        </w:rPr>
        <w:t>.</w:t>
      </w:r>
      <w:r w:rsidR="005640ED" w:rsidRPr="005640ED">
        <w:rPr>
          <w:b/>
          <w:lang w:val="lv-LV"/>
        </w:rPr>
        <w:t>jūnija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7C44E393"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5640ED" w:rsidRPr="005640ED">
        <w:rPr>
          <w:b/>
          <w:lang w:val="lv-LV"/>
        </w:rPr>
        <w:t>27</w:t>
      </w:r>
      <w:r w:rsidR="00332CE4">
        <w:rPr>
          <w:b/>
          <w:lang w:val="lv-LV"/>
        </w:rPr>
        <w:t>.jūnijā</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AC398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AC398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AC398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862586" w:rsidRPr="00AC398D" w14:paraId="49941942" w14:textId="77777777" w:rsidTr="00C322EE">
        <w:trPr>
          <w:trHeight w:val="558"/>
        </w:trPr>
        <w:tc>
          <w:tcPr>
            <w:tcW w:w="3779" w:type="dxa"/>
            <w:shd w:val="clear" w:color="auto" w:fill="auto"/>
          </w:tcPr>
          <w:p w14:paraId="76086444" w14:textId="5840C81B" w:rsidR="00862586" w:rsidRPr="00BC4F98" w:rsidRDefault="00862586" w:rsidP="00862586">
            <w:pPr>
              <w:pStyle w:val="ListParagraph"/>
              <w:ind w:left="0"/>
              <w:jc w:val="both"/>
              <w:rPr>
                <w:sz w:val="22"/>
                <w:szCs w:val="22"/>
                <w:lang w:val="lv-LV"/>
              </w:rPr>
            </w:pPr>
            <w:r>
              <w:rPr>
                <w:sz w:val="22"/>
                <w:lang w:val="lv-LV"/>
              </w:rPr>
              <w:t>4.1.4</w:t>
            </w:r>
            <w:r w:rsidRPr="00125DEF">
              <w:rPr>
                <w:sz w:val="22"/>
                <w:lang w:val="lv-LV"/>
              </w:rPr>
              <w:t>. Pretendents līguma izpildē iesaistīs ražotāja sertificētu tehnisko speciālistu (personālu), kuram ir tiesības veikt piedāvātā iepirkuma priekšmeta uzstādīšanu, lietotāju apmācību.</w:t>
            </w:r>
          </w:p>
        </w:tc>
        <w:tc>
          <w:tcPr>
            <w:tcW w:w="5392" w:type="dxa"/>
            <w:shd w:val="clear" w:color="auto" w:fill="auto"/>
          </w:tcPr>
          <w:p w14:paraId="3AFB6DC1" w14:textId="79F1D882" w:rsidR="00862586" w:rsidRDefault="00862586" w:rsidP="00C322EE">
            <w:pPr>
              <w:suppressAutoHyphens w:val="0"/>
              <w:jc w:val="both"/>
              <w:rPr>
                <w:sz w:val="22"/>
                <w:lang w:val="lv-LV"/>
              </w:rPr>
            </w:pPr>
            <w:r w:rsidRPr="007444F7">
              <w:rPr>
                <w:sz w:val="22"/>
                <w:lang w:val="lv-LV"/>
              </w:rPr>
              <w:t>4.2</w:t>
            </w:r>
            <w:r>
              <w:rPr>
                <w:sz w:val="22"/>
                <w:lang w:val="lv-LV"/>
              </w:rPr>
              <w:t>.4. Lai apliecinātu Nolikuma 4.1.4</w:t>
            </w:r>
            <w:r w:rsidRPr="007444F7">
              <w:rPr>
                <w:sz w:val="22"/>
                <w:lang w:val="lv-LV"/>
              </w:rPr>
              <w:t xml:space="preserve">.punkta izpildi, Pretendents </w:t>
            </w:r>
            <w:r>
              <w:rPr>
                <w:sz w:val="22"/>
                <w:lang w:val="lv-LV"/>
              </w:rPr>
              <w:t>norāda</w:t>
            </w:r>
            <w:r w:rsidRPr="007444F7">
              <w:rPr>
                <w:sz w:val="22"/>
                <w:lang w:val="lv-LV"/>
              </w:rPr>
              <w:t xml:space="preserve"> līguma izpildē iesaistīt</w:t>
            </w:r>
            <w:r>
              <w:rPr>
                <w:sz w:val="22"/>
                <w:lang w:val="lv-LV"/>
              </w:rPr>
              <w:t>o</w:t>
            </w:r>
            <w:r w:rsidRPr="007444F7">
              <w:rPr>
                <w:sz w:val="22"/>
                <w:lang w:val="lv-LV"/>
              </w:rPr>
              <w:t xml:space="preserve"> speciālist</w:t>
            </w:r>
            <w:r>
              <w:rPr>
                <w:sz w:val="22"/>
                <w:lang w:val="lv-LV"/>
              </w:rPr>
              <w:t>u</w:t>
            </w:r>
            <w:r w:rsidRPr="007444F7">
              <w:rPr>
                <w:sz w:val="22"/>
                <w:lang w:val="lv-LV"/>
              </w:rPr>
              <w:t xml:space="preserve">, pievienojot </w:t>
            </w:r>
            <w:r>
              <w:rPr>
                <w:sz w:val="22"/>
                <w:lang w:val="lv-LV"/>
              </w:rPr>
              <w:t xml:space="preserve">sekojošu </w:t>
            </w:r>
            <w:r w:rsidRPr="007444F7">
              <w:rPr>
                <w:sz w:val="22"/>
                <w:lang w:val="lv-LV"/>
              </w:rPr>
              <w:t>dokumentāciju</w:t>
            </w:r>
            <w:r>
              <w:rPr>
                <w:sz w:val="22"/>
                <w:lang w:val="lv-LV"/>
              </w:rPr>
              <w:t>:</w:t>
            </w:r>
          </w:p>
          <w:p w14:paraId="5AAE5210" w14:textId="2EC4C47B" w:rsidR="00862586" w:rsidRDefault="00862586" w:rsidP="00C322EE">
            <w:pPr>
              <w:suppressAutoHyphens w:val="0"/>
              <w:jc w:val="both"/>
              <w:rPr>
                <w:sz w:val="22"/>
                <w:lang w:val="lv-LV"/>
              </w:rPr>
            </w:pPr>
            <w:r>
              <w:rPr>
                <w:sz w:val="22"/>
                <w:lang w:val="lv-LV"/>
              </w:rPr>
              <w:t>* ja līguma izpildē iesaistītais speciālists ir ražotāja darbinieks, tad pievieno ražotāja izsniegtu dokumentu, kas apliecina Nolikuma 4.1.4. punkta izpildi;</w:t>
            </w:r>
          </w:p>
          <w:p w14:paraId="6C8F1E8E" w14:textId="711AC518" w:rsidR="00862586" w:rsidRPr="00BC4F98" w:rsidRDefault="00862586" w:rsidP="00C322EE">
            <w:pPr>
              <w:suppressAutoHyphens w:val="0"/>
              <w:jc w:val="both"/>
              <w:rPr>
                <w:sz w:val="22"/>
                <w:szCs w:val="22"/>
                <w:lang w:val="lv-LV"/>
              </w:rPr>
            </w:pPr>
            <w:r>
              <w:rPr>
                <w:sz w:val="22"/>
                <w:lang w:val="lv-LV"/>
              </w:rPr>
              <w:t xml:space="preserve">* ja līguma izpildē iesaistītais speciālists nav ražotāja darbinieks, tad pievieno ražotāja izsniegtu </w:t>
            </w:r>
            <w:r w:rsidRPr="007444F7">
              <w:rPr>
                <w:sz w:val="22"/>
                <w:lang w:val="lv-LV"/>
              </w:rPr>
              <w:t xml:space="preserve">spēkā esoša sertifikāta </w:t>
            </w:r>
            <w:r>
              <w:rPr>
                <w:sz w:val="22"/>
                <w:lang w:val="lv-LV"/>
              </w:rPr>
              <w:t xml:space="preserve">vai alternatīva dokumenta </w:t>
            </w:r>
            <w:r w:rsidRPr="007444F7">
              <w:rPr>
                <w:sz w:val="22"/>
                <w:lang w:val="lv-LV"/>
              </w:rPr>
              <w:t>kopiju, kas apliecina tehniskā speciālista (personāla) tiesības veikt piedāvātā i</w:t>
            </w:r>
            <w:r w:rsidR="00CB3964">
              <w:rPr>
                <w:sz w:val="22"/>
                <w:lang w:val="lv-LV"/>
              </w:rPr>
              <w:t xml:space="preserve">epirkuma priekšmeta uzstādīšanu, lietotāju apmācību. </w:t>
            </w:r>
          </w:p>
        </w:tc>
      </w:tr>
    </w:tbl>
    <w:p w14:paraId="0EA984BC" w14:textId="77777777" w:rsidR="00862586" w:rsidRDefault="00862586" w:rsidP="00862586">
      <w:pPr>
        <w:pStyle w:val="Index1"/>
        <w:ind w:left="450" w:firstLine="0"/>
        <w:rPr>
          <w:sz w:val="24"/>
          <w:szCs w:val="24"/>
        </w:rPr>
      </w:pPr>
    </w:p>
    <w:p w14:paraId="6CFED2E4" w14:textId="24A95188"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577064ED"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Komisijai ir tiesības neizskatīt piedāvājumus, kuru F</w:t>
      </w:r>
      <w:r w:rsidR="00C32949">
        <w:rPr>
          <w:rFonts w:ascii="Times New Roman" w:hAnsi="Times New Roman"/>
          <w:sz w:val="24"/>
          <w:szCs w:val="24"/>
        </w:rPr>
        <w:t>inanšu piedāvājums pārsniedz 1.7.4</w:t>
      </w:r>
      <w:r w:rsidR="00ED6C0A">
        <w:rPr>
          <w:rFonts w:ascii="Times New Roman" w:hAnsi="Times New Roman"/>
          <w:sz w:val="24"/>
          <w:szCs w:val="24"/>
        </w:rPr>
        <w:t>.punkt</w:t>
      </w:r>
      <w:r w:rsidR="00ED6C0A">
        <w:rPr>
          <w:rFonts w:ascii="Times New Roman" w:hAnsi="Times New Roman"/>
          <w:sz w:val="24"/>
          <w:szCs w:val="24"/>
          <w:lang w:val="lv-LV"/>
        </w:rPr>
        <w:t>ā</w:t>
      </w:r>
      <w:r w:rsidR="00CD2F9A">
        <w:rPr>
          <w:rFonts w:ascii="Times New Roman" w:hAnsi="Times New Roman"/>
          <w:sz w:val="24"/>
          <w:szCs w:val="24"/>
        </w:rPr>
        <w:t xml:space="preserve"> </w:t>
      </w:r>
      <w:r w:rsidR="00CD2F9A">
        <w:rPr>
          <w:rFonts w:ascii="Times New Roman" w:hAnsi="Times New Roman"/>
          <w:sz w:val="24"/>
          <w:szCs w:val="24"/>
          <w:lang w:val="lv-LV"/>
        </w:rPr>
        <w:t>a</w:t>
      </w:r>
      <w:r w:rsidRPr="00C32949">
        <w:rPr>
          <w:rFonts w:ascii="Times New Roman" w:hAnsi="Times New Roman"/>
          <w:sz w:val="24"/>
          <w:szCs w:val="24"/>
        </w:rPr>
        <w:t>minēto paredzamo līgumcenu</w:t>
      </w:r>
      <w:r w:rsidR="00ED6C0A">
        <w:rPr>
          <w:rFonts w:ascii="Times New Roman" w:hAnsi="Times New Roman"/>
          <w:sz w:val="24"/>
          <w:szCs w:val="24"/>
          <w:lang w:val="lv-LV"/>
        </w:rPr>
        <w:t xml:space="preserve"> </w:t>
      </w:r>
      <w:r w:rsidR="00C73923" w:rsidRPr="00C32949">
        <w:rPr>
          <w:rFonts w:ascii="Times New Roman" w:hAnsi="Times New Roman"/>
          <w:sz w:val="24"/>
          <w:szCs w:val="24"/>
          <w:lang w:val="lv-LV"/>
        </w:rPr>
        <w:t>vai izskatīt tikai to Finanšu piedāvājumu, kurš ir lētākais.</w:t>
      </w:r>
    </w:p>
    <w:p w14:paraId="0479058E" w14:textId="6B7F206A"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511F2F">
      <w:pPr>
        <w:tabs>
          <w:tab w:val="left" w:pos="709"/>
          <w:tab w:val="left" w:pos="1800"/>
        </w:tabs>
        <w:ind w:left="426"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7EBFA96B" w:rsidR="00987374" w:rsidRDefault="000E3F7E" w:rsidP="00511F2F">
      <w:pPr>
        <w:tabs>
          <w:tab w:val="left" w:pos="567"/>
          <w:tab w:val="left" w:pos="1800"/>
        </w:tabs>
        <w:ind w:left="1890" w:hanging="1606"/>
        <w:jc w:val="both"/>
        <w:rPr>
          <w:lang w:val="lv-LV"/>
        </w:rPr>
      </w:pPr>
      <w:r w:rsidRPr="005757F4">
        <w:rPr>
          <w:lang w:val="lv-LV"/>
        </w:rPr>
        <w:t>Pielikums Nr.2</w:t>
      </w:r>
      <w:r w:rsidR="00987374" w:rsidRPr="005757F4">
        <w:rPr>
          <w:lang w:val="lv-LV"/>
        </w:rPr>
        <w:t xml:space="preserve"> – Tehniskā specifikācija – Tehniskā piedāvājuma forma</w:t>
      </w:r>
      <w:r w:rsidR="00422834">
        <w:rPr>
          <w:lang w:val="lv-LV"/>
        </w:rPr>
        <w:t xml:space="preserve">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3384E010" w14:textId="3B7A99DD" w:rsidR="004D19E3" w:rsidRPr="005757F4" w:rsidRDefault="004D19E3" w:rsidP="00893114">
      <w:pPr>
        <w:tabs>
          <w:tab w:val="left" w:pos="709"/>
          <w:tab w:val="left" w:pos="1800"/>
        </w:tabs>
        <w:ind w:left="2700" w:hanging="2340"/>
        <w:jc w:val="both"/>
        <w:rPr>
          <w:lang w:val="lv-LV"/>
        </w:rPr>
      </w:pPr>
      <w:r w:rsidRPr="005757F4">
        <w:rPr>
          <w:lang w:val="lv-LV"/>
        </w:rPr>
        <w:t>Pielikums Nr.3</w:t>
      </w:r>
      <w:r w:rsidR="00422834">
        <w:rPr>
          <w:lang w:val="lv-LV"/>
        </w:rPr>
        <w:t>.</w:t>
      </w:r>
      <w:r w:rsidRPr="005757F4">
        <w:rPr>
          <w:lang w:val="lv-LV"/>
        </w:rPr>
        <w:t xml:space="preserve"> – Finanšu piedāvājuma forma pievienota nolikumam </w:t>
      </w:r>
      <w:r w:rsidR="00921049" w:rsidRPr="005757F4">
        <w:rPr>
          <w:lang w:val="lv-LV"/>
        </w:rPr>
        <w:t>atsevišķā datnē</w:t>
      </w:r>
      <w:r w:rsidRPr="005757F4">
        <w:rPr>
          <w:lang w:val="lv-LV"/>
        </w:rPr>
        <w:t>;</w:t>
      </w:r>
    </w:p>
    <w:p w14:paraId="4D8D1C4D" w14:textId="78FF480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E85DC2">
        <w:rPr>
          <w:lang w:val="lv-LV"/>
        </w:rPr>
        <w:t>.</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2344E35"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CB3964">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371B"/>
    <w:rsid w:val="00054177"/>
    <w:rsid w:val="00055143"/>
    <w:rsid w:val="0005596B"/>
    <w:rsid w:val="00055F02"/>
    <w:rsid w:val="00056353"/>
    <w:rsid w:val="00056A5C"/>
    <w:rsid w:val="00056CB3"/>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0E6"/>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CE4"/>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F2F"/>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0ED"/>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0927"/>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77362"/>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586"/>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2175"/>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3F2"/>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98D"/>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3964"/>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5EA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04B"/>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85DC2"/>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6C0A"/>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8601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36348156">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DB30-2395-4DE8-A49A-B291F88D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8</Pages>
  <Words>13550</Words>
  <Characters>7725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21233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49</cp:revision>
  <cp:lastPrinted>2018-05-23T05:52:00Z</cp:lastPrinted>
  <dcterms:created xsi:type="dcterms:W3CDTF">2018-01-11T11:10:00Z</dcterms:created>
  <dcterms:modified xsi:type="dcterms:W3CDTF">2018-05-23T05:52:00Z</dcterms:modified>
</cp:coreProperties>
</file>