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48A7B23D" w:rsidR="00062C11"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360606">
        <w:rPr>
          <w:bCs/>
          <w:sz w:val="20"/>
          <w:szCs w:val="20"/>
          <w:lang w:val="lv-LV"/>
        </w:rPr>
        <w:t>40</w:t>
      </w:r>
    </w:p>
    <w:p w14:paraId="646DAB5E" w14:textId="1D051188" w:rsidR="00AA3076" w:rsidRPr="00AA3076" w:rsidRDefault="00AA3076" w:rsidP="00062C11">
      <w:pPr>
        <w:jc w:val="right"/>
        <w:rPr>
          <w:bCs/>
          <w:color w:val="FF0000"/>
          <w:sz w:val="20"/>
          <w:szCs w:val="20"/>
          <w:lang w:val="lv-LV"/>
        </w:rPr>
      </w:pPr>
      <w:r w:rsidRPr="00AA3076">
        <w:rPr>
          <w:bCs/>
          <w:color w:val="FF0000"/>
          <w:sz w:val="20"/>
          <w:szCs w:val="20"/>
          <w:lang w:val="lv-LV"/>
        </w:rPr>
        <w:t>ar 11.05.2018. precizējumiem</w:t>
      </w:r>
    </w:p>
    <w:p w14:paraId="195FBF40" w14:textId="77777777" w:rsidR="00062C11" w:rsidRPr="00062C11" w:rsidRDefault="00062C11" w:rsidP="00062C11">
      <w:pPr>
        <w:jc w:val="right"/>
        <w:rPr>
          <w:b/>
          <w:bCs/>
          <w:sz w:val="22"/>
          <w:szCs w:val="22"/>
          <w:lang w:val="lv-LV"/>
        </w:rPr>
      </w:pPr>
    </w:p>
    <w:p w14:paraId="67AAC8ED" w14:textId="77777777" w:rsidR="00360606" w:rsidRPr="00062C11" w:rsidRDefault="00360606" w:rsidP="00360606">
      <w:pPr>
        <w:pStyle w:val="ListParagraph"/>
        <w:ind w:left="0"/>
        <w:jc w:val="center"/>
        <w:rPr>
          <w:b/>
          <w:sz w:val="22"/>
          <w:szCs w:val="22"/>
          <w:lang w:val="lv-LV"/>
        </w:rPr>
      </w:pPr>
      <w:r w:rsidRPr="00062C11">
        <w:rPr>
          <w:b/>
          <w:sz w:val="22"/>
          <w:szCs w:val="22"/>
          <w:lang w:val="lv-LV"/>
        </w:rPr>
        <w:t>PROJEKTS</w:t>
      </w:r>
    </w:p>
    <w:p w14:paraId="16989818" w14:textId="77777777" w:rsidR="00360606" w:rsidRDefault="00360606" w:rsidP="00062C11">
      <w:pPr>
        <w:pStyle w:val="ListParagraph"/>
        <w:ind w:left="0"/>
        <w:jc w:val="center"/>
        <w:rPr>
          <w:b/>
          <w:bCs/>
          <w:sz w:val="22"/>
          <w:szCs w:val="22"/>
          <w:lang w:val="lv-LV"/>
        </w:rPr>
      </w:pPr>
    </w:p>
    <w:p w14:paraId="4CACE910" w14:textId="77777777" w:rsidR="00360606" w:rsidRDefault="00360606" w:rsidP="00062C11">
      <w:pPr>
        <w:pStyle w:val="ListParagraph"/>
        <w:ind w:left="0"/>
        <w:jc w:val="center"/>
        <w:rPr>
          <w:b/>
          <w:bCs/>
          <w:sz w:val="22"/>
          <w:szCs w:val="22"/>
          <w:lang w:val="lv-LV"/>
        </w:rPr>
      </w:pPr>
      <w:bookmarkStart w:id="0" w:name="_GoBack"/>
      <w:bookmarkEnd w:id="0"/>
    </w:p>
    <w:p w14:paraId="0938CB1A" w14:textId="0018A63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30947F45"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A9025D" w:rsidRPr="00A9025D">
        <w:rPr>
          <w:color w:val="000000"/>
          <w:spacing w:val="-1"/>
          <w:sz w:val="22"/>
          <w:szCs w:val="22"/>
          <w:lang w:val="lv-LV"/>
        </w:rPr>
        <w:t>Aprīkojuma iegāde RTU ETF STEM studiju programmas ietvaros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A9025D">
        <w:rPr>
          <w:rFonts w:eastAsia="Cambria"/>
          <w:kern w:val="56"/>
          <w:sz w:val="22"/>
          <w:szCs w:val="22"/>
          <w:lang w:val="lv-LV" w:eastAsia="x-none"/>
        </w:rPr>
        <w:t>40</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w:t>
      </w:r>
      <w:r w:rsidR="005C7F12">
        <w:rPr>
          <w:rFonts w:eastAsia="Cambria"/>
          <w:kern w:val="56"/>
          <w:sz w:val="22"/>
          <w:szCs w:val="22"/>
          <w:lang w:val="lv-LV" w:eastAsia="x-none"/>
        </w:rPr>
        <w:t xml:space="preserve"> </w:t>
      </w:r>
      <w:r w:rsidR="0046454D">
        <w:rPr>
          <w:rFonts w:eastAsia="Cambria"/>
          <w:kern w:val="56"/>
          <w:sz w:val="22"/>
          <w:szCs w:val="22"/>
          <w:lang w:val="lv-LV" w:eastAsia="x-none"/>
        </w:rPr>
        <w:t>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003F1BE"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A9025D" w:rsidRPr="00A9025D">
        <w:rPr>
          <w:bCs/>
          <w:color w:val="000000"/>
          <w:spacing w:val="-1"/>
          <w:sz w:val="22"/>
          <w:szCs w:val="22"/>
          <w:lang w:val="lv-LV"/>
        </w:rPr>
        <w:t>Aprīkojuma iegāde RTU ETF STEM studiju programmas ietvaros</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A9025D">
        <w:rPr>
          <w:rFonts w:cs="Cambria"/>
          <w:kern w:val="56"/>
          <w:sz w:val="22"/>
          <w:szCs w:val="22"/>
          <w:lang w:val="lv-LV"/>
        </w:rPr>
        <w:t>40</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5A19BDB" w:rsidR="00A33270" w:rsidRPr="00224B0C"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224B0C">
        <w:rPr>
          <w:kern w:val="56"/>
          <w:sz w:val="22"/>
          <w:szCs w:val="22"/>
          <w:lang w:val="lv-LV"/>
        </w:rPr>
        <w:t>Eiropas Savienības fonda projekts</w:t>
      </w:r>
      <w:r w:rsidR="00224B0C" w:rsidRPr="00224B0C">
        <w:rPr>
          <w:kern w:val="56"/>
          <w:sz w:val="22"/>
          <w:szCs w:val="22"/>
          <w:lang w:val="lv-LV"/>
        </w:rPr>
        <w:t xml:space="preserve"> -</w:t>
      </w:r>
      <w:r w:rsidRPr="00224B0C">
        <w:rPr>
          <w:kern w:val="56"/>
          <w:sz w:val="22"/>
          <w:szCs w:val="22"/>
          <w:lang w:val="lv-LV"/>
        </w:rPr>
        <w:t xml:space="preserve"> </w:t>
      </w:r>
      <w:r w:rsidR="00224B0C" w:rsidRPr="00224B0C">
        <w:rPr>
          <w:kern w:val="56"/>
          <w:sz w:val="22"/>
          <w:szCs w:val="22"/>
          <w:lang w:val="lv-LV"/>
        </w:rPr>
        <w:t>vienošanās Nr.8.1.1.0/17/I/002 par projekta “Rīgas Tehniskās universitātes infrastruktūras attīstība STEM studiju programmu modernizēšanai” īstenošanu, (PVS ID 3169)</w:t>
      </w:r>
      <w:r w:rsidR="00D03E6A" w:rsidRPr="00224B0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D86D42" w:rsidRDefault="00E6214B" w:rsidP="00020B1D">
            <w:pPr>
              <w:suppressAutoHyphens w:val="0"/>
              <w:contextualSpacing/>
              <w:jc w:val="both"/>
              <w:rPr>
                <w:color w:val="FF0000"/>
                <w:sz w:val="22"/>
                <w:szCs w:val="22"/>
                <w:highlight w:val="yellow"/>
                <w:lang w:val="lv-LV" w:eastAsia="lv-LV"/>
              </w:rPr>
            </w:pPr>
            <w:r w:rsidRPr="00D86D42">
              <w:rPr>
                <w:color w:val="FF0000"/>
                <w:sz w:val="22"/>
                <w:szCs w:val="22"/>
                <w:lang w:val="lv-LV" w:eastAsia="lv-LV"/>
              </w:rPr>
              <w:t>Projekts</w:t>
            </w:r>
          </w:p>
        </w:tc>
        <w:tc>
          <w:tcPr>
            <w:tcW w:w="6390" w:type="dxa"/>
          </w:tcPr>
          <w:p w14:paraId="6CA14CEF" w14:textId="784DC8CC" w:rsidR="00E6214B" w:rsidRPr="00D86D42" w:rsidRDefault="00D86D42" w:rsidP="00D86D42">
            <w:pPr>
              <w:suppressAutoHyphens w:val="0"/>
              <w:contextualSpacing/>
              <w:jc w:val="both"/>
              <w:rPr>
                <w:color w:val="FF0000"/>
                <w:sz w:val="22"/>
                <w:szCs w:val="22"/>
                <w:highlight w:val="yellow"/>
                <w:lang w:val="lv-LV" w:eastAsia="lv-LV"/>
              </w:rPr>
            </w:pPr>
            <w:r w:rsidRPr="00D86D42">
              <w:rPr>
                <w:color w:val="FF0000"/>
                <w:sz w:val="22"/>
                <w:szCs w:val="22"/>
                <w:lang w:val="lv-LV" w:eastAsia="lv-LV"/>
              </w:rPr>
              <w:t>Eiropas Savienības fonda projekts - “Rīgas Tehniskās universitātes infrastruktūras attīstība STEM studiju programmu modernizēšanai”</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61D1E87D" w:rsidR="00E6214B" w:rsidRPr="00466AEA" w:rsidRDefault="00D86D42" w:rsidP="00020B1D">
            <w:pPr>
              <w:suppressAutoHyphens w:val="0"/>
              <w:contextualSpacing/>
              <w:jc w:val="both"/>
              <w:rPr>
                <w:sz w:val="22"/>
                <w:szCs w:val="22"/>
                <w:lang w:val="lv-LV" w:eastAsia="lv-LV"/>
              </w:rPr>
            </w:pPr>
            <w:r w:rsidRPr="00D86D42">
              <w:rPr>
                <w:color w:val="FF0000"/>
                <w:sz w:val="22"/>
                <w:szCs w:val="22"/>
                <w:lang w:val="lv-LV" w:eastAsia="lv-LV"/>
              </w:rPr>
              <w:t>Nr.8.1.1.0/17/I/002</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45888A17" w:rsidR="00E6214B" w:rsidRPr="00466AEA" w:rsidRDefault="00E6214B" w:rsidP="00020B1D">
            <w:pPr>
              <w:suppressAutoHyphens w:val="0"/>
              <w:contextualSpacing/>
              <w:jc w:val="both"/>
              <w:rPr>
                <w:sz w:val="22"/>
                <w:szCs w:val="22"/>
                <w:lang w:val="lv-LV" w:eastAsia="lv-LV"/>
              </w:rPr>
            </w:pPr>
          </w:p>
        </w:tc>
      </w:tr>
    </w:tbl>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4556D01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17491" w:rsidRPr="00717491">
        <w:rPr>
          <w:b/>
          <w:kern w:val="56"/>
          <w:sz w:val="22"/>
          <w:szCs w:val="22"/>
          <w:lang w:val="lv-LV"/>
        </w:rPr>
        <w:t xml:space="preserve">Rīga, </w:t>
      </w:r>
      <w:r w:rsidR="00F72015">
        <w:rPr>
          <w:b/>
          <w:kern w:val="56"/>
          <w:sz w:val="22"/>
          <w:szCs w:val="22"/>
          <w:lang w:val="lv-LV"/>
        </w:rPr>
        <w:t>_____________________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6E13A62"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w:t>
      </w:r>
      <w:r w:rsidR="00D86D42" w:rsidRPr="00D86D42">
        <w:rPr>
          <w:rFonts w:eastAsia="Cambria"/>
          <w:color w:val="FF0000"/>
          <w:kern w:val="56"/>
          <w:sz w:val="22"/>
          <w:szCs w:val="22"/>
          <w:lang w:val="lv-LV"/>
        </w:rPr>
        <w:t>Līgumcenas</w:t>
      </w:r>
      <w:r w:rsidRPr="00062C11">
        <w:rPr>
          <w:rFonts w:eastAsia="Cambria"/>
          <w:kern w:val="56"/>
          <w:sz w:val="22"/>
          <w:szCs w:val="22"/>
          <w:lang w:val="lv-LV"/>
        </w:rPr>
        <w:t xml:space="preserve">,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6F31EF05"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AA3076">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4B0C"/>
    <w:rsid w:val="00227B82"/>
    <w:rsid w:val="002D20EA"/>
    <w:rsid w:val="003048B1"/>
    <w:rsid w:val="00360606"/>
    <w:rsid w:val="00361262"/>
    <w:rsid w:val="0046454D"/>
    <w:rsid w:val="005415BD"/>
    <w:rsid w:val="0059787A"/>
    <w:rsid w:val="005B0C92"/>
    <w:rsid w:val="005C7F12"/>
    <w:rsid w:val="00653B28"/>
    <w:rsid w:val="00717491"/>
    <w:rsid w:val="00761DAA"/>
    <w:rsid w:val="00A33270"/>
    <w:rsid w:val="00A9025D"/>
    <w:rsid w:val="00AA1420"/>
    <w:rsid w:val="00AA3076"/>
    <w:rsid w:val="00CF1C0B"/>
    <w:rsid w:val="00D03E6A"/>
    <w:rsid w:val="00D86D42"/>
    <w:rsid w:val="00D97584"/>
    <w:rsid w:val="00DF0ACD"/>
    <w:rsid w:val="00E104AA"/>
    <w:rsid w:val="00E307A3"/>
    <w:rsid w:val="00E6214B"/>
    <w:rsid w:val="00E866AC"/>
    <w:rsid w:val="00F72015"/>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12330</Words>
  <Characters>7029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5</cp:revision>
  <dcterms:created xsi:type="dcterms:W3CDTF">2018-05-10T09:09:00Z</dcterms:created>
  <dcterms:modified xsi:type="dcterms:W3CDTF">2018-05-11T08:00:00Z</dcterms:modified>
</cp:coreProperties>
</file>