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3354AC" w:rsidRPr="003354AC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3354AC">
        <w:rPr>
          <w:rFonts w:ascii="Arial" w:hAnsi="Arial" w:cs="Arial"/>
          <w:lang w:val="lv-LV"/>
        </w:rPr>
        <w:t>107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  <w:bookmarkStart w:id="0" w:name="_GoBack"/>
      <w:bookmarkEnd w:id="0"/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6677A1">
        <w:rPr>
          <w:rFonts w:ascii="Arial" w:hAnsi="Arial" w:cs="Arial"/>
          <w:bCs/>
          <w:lang w:val="lv-LV"/>
        </w:rPr>
        <w:t>.</w:t>
      </w:r>
      <w:r w:rsidR="00064B7A" w:rsidRPr="0005319E">
        <w:rPr>
          <w:rFonts w:ascii="Arial" w:hAnsi="Arial" w:cs="Arial"/>
          <w:bCs/>
          <w:lang w:val="lv-LV"/>
        </w:rPr>
        <w:t xml:space="preserve">gada </w:t>
      </w:r>
      <w:r w:rsidR="00B96386">
        <w:rPr>
          <w:rFonts w:ascii="Arial" w:hAnsi="Arial" w:cs="Arial"/>
          <w:bCs/>
          <w:lang w:val="lv-LV"/>
        </w:rPr>
        <w:t>5</w:t>
      </w:r>
      <w:r w:rsidR="004935C1">
        <w:rPr>
          <w:rFonts w:ascii="Arial" w:hAnsi="Arial" w:cs="Arial"/>
          <w:bCs/>
          <w:lang w:val="lv-LV"/>
        </w:rPr>
        <w:t>.</w:t>
      </w:r>
      <w:r w:rsidR="005E2014">
        <w:rPr>
          <w:rFonts w:ascii="Arial" w:hAnsi="Arial" w:cs="Arial"/>
          <w:bCs/>
          <w:lang w:val="lv-LV"/>
        </w:rPr>
        <w:t>decembrī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057FE4" w:rsidRDefault="00057FE4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6C5635" w:rsidRPr="006C5635" w:rsidRDefault="00E012F1" w:rsidP="006C5635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Elektronisko komponenšu iegāde RTU Radioelektronikas institūta vajadzībām</w:t>
      </w:r>
      <w:r w:rsidRPr="003354AC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  <w:r w:rsidR="006C5635"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Iepirkuma priekšmets ir sadalīts šādās daļās: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Nr.1: Mazjaudīgie lāzeri un optiskās komponentes;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Nr.2: Akustiskās komponentes;</w:t>
      </w:r>
    </w:p>
    <w:p w:rsid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Nr.3: Alternatīvās enerģijas komponentes.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Identifikācijas numurs:</w:t>
      </w:r>
      <w:r w:rsidRPr="003354AC">
        <w:rPr>
          <w:rFonts w:ascii="Arial" w:eastAsia="Times New Roman" w:hAnsi="Arial" w:cs="Arial"/>
          <w:b/>
          <w:bCs/>
          <w:lang w:val="lv-LV" w:eastAsia="lv-LV"/>
        </w:rPr>
        <w:t xml:space="preserve"> </w:t>
      </w:r>
      <w:r w:rsidRPr="003354AC">
        <w:rPr>
          <w:rFonts w:ascii="Arial" w:eastAsia="Times New Roman" w:hAnsi="Arial" w:cs="Arial"/>
          <w:bCs/>
          <w:lang w:val="lv-LV" w:eastAsia="lv-LV"/>
        </w:rPr>
        <w:t>RTU – 2018/</w:t>
      </w:r>
      <w:r w:rsidR="006C5635" w:rsidRPr="003354AC">
        <w:rPr>
          <w:rFonts w:ascii="Arial" w:eastAsia="Times New Roman" w:hAnsi="Arial" w:cs="Arial"/>
          <w:bCs/>
          <w:lang w:val="lv-LV" w:eastAsia="lv-LV"/>
        </w:rPr>
        <w:t>10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7</w:t>
      </w:r>
      <w:r w:rsidRPr="003354AC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1</w:t>
      </w:r>
      <w:r w:rsidR="003354AC">
        <w:rPr>
          <w:rFonts w:ascii="Arial" w:eastAsia="Times New Roman" w:hAnsi="Arial" w:cs="Arial"/>
          <w:bCs/>
          <w:lang w:val="lv-LV" w:eastAsia="lv-LV"/>
        </w:rPr>
        <w:t>1</w:t>
      </w:r>
      <w:r w:rsidR="006C5635">
        <w:rPr>
          <w:rFonts w:ascii="Arial" w:eastAsia="Times New Roman" w:hAnsi="Arial" w:cs="Arial"/>
          <w:bCs/>
          <w:lang w:val="lv-LV" w:eastAsia="lv-LV"/>
        </w:rPr>
        <w:t>.10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3354AC">
        <w:rPr>
          <w:rFonts w:ascii="Arial" w:hAnsi="Arial" w:cs="Arial"/>
          <w:lang w:val="lv-LV"/>
        </w:rPr>
        <w:t>10</w:t>
      </w:r>
      <w:r w:rsidR="006C5635">
        <w:rPr>
          <w:rFonts w:ascii="Arial" w:hAnsi="Arial" w:cs="Arial"/>
          <w:lang w:val="lv-LV"/>
        </w:rPr>
        <w:t>.10</w:t>
      </w:r>
      <w:r w:rsidRPr="00E012F1">
        <w:rPr>
          <w:rFonts w:ascii="Arial" w:hAnsi="Arial" w:cs="Arial"/>
          <w:lang w:val="lv-LV"/>
        </w:rPr>
        <w:t>.2018. rīkojumu Nr.03000-1.2-e/</w:t>
      </w:r>
      <w:r w:rsidR="003354AC">
        <w:rPr>
          <w:rFonts w:ascii="Arial" w:hAnsi="Arial" w:cs="Arial"/>
          <w:lang w:val="lv-LV"/>
        </w:rPr>
        <w:t>53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3354AC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3354AC">
        <w:rPr>
          <w:rFonts w:ascii="Arial" w:eastAsia="Times New Roman" w:hAnsi="Arial" w:cs="Arial"/>
          <w:lang w:val="lv-LV" w:eastAsia="lv-LV"/>
        </w:rPr>
        <w:t xml:space="preserve"> </w:t>
      </w:r>
      <w:r w:rsidR="003354AC" w:rsidRPr="003354AC">
        <w:rPr>
          <w:rFonts w:ascii="Arial" w:hAnsi="Arial" w:cs="Arial"/>
          <w:bCs/>
          <w:szCs w:val="22"/>
          <w:lang w:eastAsia="lv-LV"/>
        </w:rPr>
        <w:t>38000000-5, 32000000-3, 09000000-3, 33000000-0, 31000000-6, 09330000-</w:t>
      </w:r>
      <w:r w:rsidR="003354AC" w:rsidRPr="006677A1">
        <w:rPr>
          <w:rFonts w:ascii="Arial" w:hAnsi="Arial" w:cs="Arial"/>
          <w:bCs/>
          <w:szCs w:val="22"/>
          <w:lang w:eastAsia="lv-LV"/>
        </w:rPr>
        <w:t>1</w:t>
      </w:r>
      <w:r w:rsidR="003354AC" w:rsidRPr="003354AC">
        <w:rPr>
          <w:rFonts w:ascii="Arial" w:hAnsi="Arial" w:cs="Arial"/>
          <w:bCs/>
          <w:szCs w:val="22"/>
          <w:lang w:eastAsia="lv-LV"/>
        </w:rPr>
        <w:t xml:space="preserve">. 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Nr.2 </w:t>
      </w:r>
      <w:r w:rsidRPr="00E012F1">
        <w:rPr>
          <w:rFonts w:ascii="Arial" w:eastAsia="Times New Roman" w:hAnsi="Arial" w:cs="Arial"/>
          <w:b/>
          <w:bCs/>
          <w:lang w:eastAsia="lv-LV"/>
        </w:rPr>
        <w:t xml:space="preserve">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"/>
        <w:tblW w:w="5208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5"/>
        <w:gridCol w:w="3055"/>
        <w:gridCol w:w="2250"/>
        <w:gridCol w:w="2701"/>
      </w:tblGrid>
      <w:tr w:rsidR="001D7071" w:rsidRPr="000A5CB8" w:rsidTr="001D7071">
        <w:trPr>
          <w:trHeight w:val="800"/>
        </w:trPr>
        <w:tc>
          <w:tcPr>
            <w:tcW w:w="367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768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302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563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1D7071" w:rsidRPr="000A5CB8" w:rsidTr="001D7071">
        <w:tc>
          <w:tcPr>
            <w:tcW w:w="367" w:type="pct"/>
            <w:shd w:val="clear" w:color="auto" w:fill="auto"/>
          </w:tcPr>
          <w:p w:rsidR="001D7071" w:rsidRPr="000A5CB8" w:rsidRDefault="001D7071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1D7071" w:rsidRPr="003354AC" w:rsidRDefault="001D7071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302" w:type="pct"/>
            <w:shd w:val="clear" w:color="auto" w:fill="auto"/>
          </w:tcPr>
          <w:p w:rsidR="001D7071" w:rsidRPr="003354AC" w:rsidRDefault="001D7071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5824</w:t>
            </w:r>
            <w:r w:rsidRPr="003354AC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1563" w:type="pct"/>
            <w:shd w:val="clear" w:color="auto" w:fill="auto"/>
          </w:tcPr>
          <w:p w:rsidR="001D7071" w:rsidRPr="003354AC" w:rsidRDefault="001D7071" w:rsidP="00335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24.10.2018.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08:36</w:t>
            </w:r>
          </w:p>
        </w:tc>
      </w:tr>
      <w:tr w:rsidR="001D7071" w:rsidRPr="000A5CB8" w:rsidTr="001D7071">
        <w:tc>
          <w:tcPr>
            <w:tcW w:w="367" w:type="pct"/>
            <w:shd w:val="clear" w:color="auto" w:fill="auto"/>
          </w:tcPr>
          <w:p w:rsidR="001D7071" w:rsidRPr="000A5CB8" w:rsidRDefault="001D7071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1768" w:type="pct"/>
            <w:shd w:val="clear" w:color="auto" w:fill="auto"/>
          </w:tcPr>
          <w:p w:rsidR="001D7071" w:rsidRPr="003354AC" w:rsidRDefault="001D7071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1302" w:type="pct"/>
            <w:shd w:val="clear" w:color="auto" w:fill="auto"/>
          </w:tcPr>
          <w:p w:rsidR="001D7071" w:rsidRPr="003354AC" w:rsidRDefault="001D7071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5004,00</w:t>
            </w:r>
          </w:p>
        </w:tc>
        <w:tc>
          <w:tcPr>
            <w:tcW w:w="1563" w:type="pct"/>
            <w:shd w:val="clear" w:color="auto" w:fill="auto"/>
          </w:tcPr>
          <w:p w:rsidR="001D7071" w:rsidRPr="003354AC" w:rsidRDefault="001D7071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08:54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3580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1"/>
        <w:gridCol w:w="3060"/>
        <w:gridCol w:w="2249"/>
      </w:tblGrid>
      <w:tr w:rsidR="001D7071" w:rsidRPr="000A5CB8" w:rsidTr="00057FE4">
        <w:trPr>
          <w:trHeight w:val="503"/>
        </w:trPr>
        <w:tc>
          <w:tcPr>
            <w:tcW w:w="531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576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893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1D7071" w:rsidRPr="000A5CB8" w:rsidTr="001D7071">
        <w:tc>
          <w:tcPr>
            <w:tcW w:w="531" w:type="pct"/>
            <w:shd w:val="clear" w:color="auto" w:fill="auto"/>
          </w:tcPr>
          <w:p w:rsidR="001D7071" w:rsidRPr="000A5CB8" w:rsidRDefault="001D7071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76" w:type="pct"/>
            <w:shd w:val="clear" w:color="auto" w:fill="auto"/>
          </w:tcPr>
          <w:p w:rsidR="001D7071" w:rsidRPr="003354AC" w:rsidRDefault="001D7071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893" w:type="pct"/>
            <w:shd w:val="clear" w:color="auto" w:fill="auto"/>
          </w:tcPr>
          <w:p w:rsidR="001D7071" w:rsidRDefault="001D7071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1D7071" w:rsidRPr="000A5CB8" w:rsidTr="001D7071">
        <w:tc>
          <w:tcPr>
            <w:tcW w:w="531" w:type="pct"/>
            <w:shd w:val="clear" w:color="auto" w:fill="auto"/>
          </w:tcPr>
          <w:p w:rsidR="001D7071" w:rsidRPr="000A5CB8" w:rsidRDefault="001D7071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76" w:type="pct"/>
            <w:shd w:val="clear" w:color="auto" w:fill="auto"/>
          </w:tcPr>
          <w:p w:rsidR="001D7071" w:rsidRPr="003354AC" w:rsidRDefault="001D7071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1893" w:type="pct"/>
            <w:shd w:val="clear" w:color="auto" w:fill="auto"/>
          </w:tcPr>
          <w:p w:rsidR="001D7071" w:rsidRDefault="001D7071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617AF7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lastRenderedPageBreak/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 w:rsidR="001D707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1D707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="001D7071">
        <w:rPr>
          <w:rFonts w:ascii="Arial" w:eastAsia="Times New Roman" w:hAnsi="Arial" w:cs="Arial"/>
          <w:b/>
          <w:bCs/>
          <w:lang w:eastAsia="lv-LV"/>
        </w:rPr>
        <w:t xml:space="preserve"> Nr.2</w:t>
      </w:r>
      <w:r>
        <w:rPr>
          <w:rFonts w:ascii="Arial" w:eastAsia="Times New Roman" w:hAnsi="Arial" w:cs="Arial"/>
          <w:b/>
          <w:bCs/>
          <w:lang w:eastAsia="lv-LV"/>
        </w:rPr>
        <w:t>:</w:t>
      </w:r>
    </w:p>
    <w:p w:rsidR="00E012F1" w:rsidRDefault="00617AF7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617AF7">
        <w:rPr>
          <w:rFonts w:ascii="Arial" w:eastAsia="Times New Roman" w:hAnsi="Arial" w:cs="Arial"/>
          <w:bCs/>
          <w:lang w:eastAsia="lv-LV"/>
        </w:rPr>
        <w:t xml:space="preserve">11.1.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komisija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atceļ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06.11.2018.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lang w:eastAsia="lv-LV"/>
        </w:rPr>
        <w:t>sēdē</w:t>
      </w:r>
      <w:proofErr w:type="spellEnd"/>
      <w:proofErr w:type="gram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pieņemto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lēmumu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tiesību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piešķiršanu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Nr.2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pretendentam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SIA “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Ekonomikas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centras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>”</w:t>
      </w:r>
      <w:r>
        <w:rPr>
          <w:rFonts w:ascii="Arial" w:eastAsia="Times New Roman" w:hAnsi="Arial" w:cs="Arial"/>
          <w:bCs/>
          <w:lang w:eastAsia="lv-LV"/>
        </w:rPr>
        <w:t>,</w:t>
      </w:r>
      <w:r w:rsidRPr="00617AF7">
        <w:rPr>
          <w:rFonts w:ascii="Arial" w:eastAsia="Times New Roman" w:hAnsi="Arial" w:cs="Arial"/>
          <w:bCs/>
          <w:sz w:val="22"/>
          <w:szCs w:val="22"/>
          <w:lang w:val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val="lv-LV" w:eastAsia="lv-LV"/>
        </w:rPr>
        <w:t>reģ</w:t>
      </w:r>
      <w:proofErr w:type="spellEnd"/>
      <w:r w:rsidRPr="00617AF7">
        <w:rPr>
          <w:rFonts w:ascii="Arial" w:eastAsia="Times New Roman" w:hAnsi="Arial" w:cs="Arial"/>
          <w:bCs/>
          <w:lang w:val="lv-LV" w:eastAsia="lv-LV"/>
        </w:rPr>
        <w:t xml:space="preserve">. Nr. </w:t>
      </w:r>
      <w:r w:rsidRPr="00617AF7">
        <w:rPr>
          <w:rFonts w:ascii="Arial" w:eastAsia="Times New Roman" w:hAnsi="Arial" w:cs="Arial"/>
          <w:bCs/>
          <w:lang w:eastAsia="lv-LV"/>
        </w:rPr>
        <w:t>40103739456</w:t>
      </w:r>
      <w:r>
        <w:rPr>
          <w:rFonts w:ascii="Arial" w:eastAsia="Times New Roman" w:hAnsi="Arial" w:cs="Arial"/>
          <w:bCs/>
          <w:lang w:eastAsia="lv-LV"/>
        </w:rPr>
        <w:t>,</w:t>
      </w:r>
      <w:r w:rsidR="00E30391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E30391">
        <w:rPr>
          <w:rFonts w:ascii="Arial" w:eastAsia="Times New Roman" w:hAnsi="Arial" w:cs="Arial"/>
          <w:bCs/>
          <w:lang w:eastAsia="lv-LV"/>
        </w:rPr>
        <w:t>summu</w:t>
      </w:r>
      <w:proofErr w:type="spellEnd"/>
      <w:r w:rsidR="00E30391">
        <w:rPr>
          <w:rFonts w:ascii="Arial" w:eastAsia="Times New Roman" w:hAnsi="Arial" w:cs="Arial"/>
          <w:bCs/>
          <w:lang w:eastAsia="lv-LV"/>
        </w:rPr>
        <w:t xml:space="preserve"> 3622 EUR (bez PVN)</w:t>
      </w:r>
      <w:r w:rsidR="00B96386">
        <w:rPr>
          <w:rFonts w:ascii="Arial" w:eastAsia="Times New Roman" w:hAnsi="Arial" w:cs="Arial"/>
          <w:bCs/>
          <w:lang w:eastAsia="lv-LV"/>
        </w:rPr>
        <w:t xml:space="preserve">, jo </w:t>
      </w:r>
      <w:proofErr w:type="spellStart"/>
      <w:r w:rsidR="00B96386">
        <w:rPr>
          <w:rFonts w:ascii="Arial" w:eastAsia="Times New Roman" w:hAnsi="Arial" w:cs="Arial"/>
          <w:bCs/>
          <w:lang w:eastAsia="lv-LV"/>
        </w:rPr>
        <w:t>konstatēja</w:t>
      </w:r>
      <w:proofErr w:type="spellEnd"/>
      <w:r w:rsidR="00B96386">
        <w:rPr>
          <w:rFonts w:ascii="Arial" w:eastAsia="Times New Roman" w:hAnsi="Arial" w:cs="Arial"/>
          <w:bCs/>
          <w:lang w:eastAsia="lv-LV"/>
        </w:rPr>
        <w:t>,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4B378E">
        <w:rPr>
          <w:rFonts w:ascii="Arial" w:eastAsia="Times New Roman" w:hAnsi="Arial" w:cs="Arial"/>
          <w:bCs/>
          <w:lang w:eastAsia="lv-LV"/>
        </w:rPr>
        <w:t>ka</w:t>
      </w:r>
      <w:proofErr w:type="spellEnd"/>
      <w:r w:rsidR="004B378E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4B378E">
        <w:rPr>
          <w:rFonts w:ascii="Arial" w:eastAsia="Times New Roman" w:hAnsi="Arial" w:cs="Arial"/>
          <w:bCs/>
          <w:lang w:eastAsia="lv-LV"/>
        </w:rPr>
        <w:t>norādītā</w:t>
      </w:r>
      <w:proofErr w:type="spellEnd"/>
      <w:r w:rsidR="004B378E">
        <w:rPr>
          <w:rFonts w:ascii="Arial" w:eastAsia="Times New Roman" w:hAnsi="Arial" w:cs="Arial"/>
          <w:bCs/>
          <w:lang w:eastAsia="lv-LV"/>
        </w:rPr>
        <w:t xml:space="preserve"> summa </w:t>
      </w:r>
      <w:proofErr w:type="spellStart"/>
      <w:r w:rsidR="004B378E">
        <w:rPr>
          <w:rFonts w:ascii="Arial" w:eastAsia="Times New Roman" w:hAnsi="Arial" w:cs="Arial"/>
          <w:bCs/>
          <w:lang w:eastAsia="lv-LV"/>
        </w:rPr>
        <w:t>neietver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pozīcijas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r w:rsidR="00057FE4">
        <w:rPr>
          <w:rFonts w:ascii="Arial" w:eastAsia="Times New Roman" w:hAnsi="Arial" w:cs="Arial"/>
          <w:bCs/>
          <w:lang w:eastAsia="lv-LV"/>
        </w:rPr>
        <w:t>“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Lubell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LL916C”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kā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rezultātā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pretednenta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44B47">
        <w:rPr>
          <w:rFonts w:ascii="Arial" w:eastAsia="Times New Roman" w:hAnsi="Arial" w:cs="Arial"/>
          <w:bCs/>
          <w:lang w:eastAsia="lv-LV"/>
        </w:rPr>
        <w:t>faktiskais</w:t>
      </w:r>
      <w:proofErr w:type="spellEnd"/>
      <w:r w:rsidR="00544B4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piedāvājums</w:t>
      </w:r>
      <w:proofErr w:type="spellEnd"/>
      <w:r w:rsidR="00E303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>
        <w:rPr>
          <w:rFonts w:ascii="Arial" w:eastAsia="Times New Roman" w:hAnsi="Arial" w:cs="Arial"/>
          <w:bCs/>
          <w:lang w:eastAsia="lv-LV"/>
        </w:rPr>
        <w:t>ir</w:t>
      </w:r>
      <w:proofErr w:type="spellEnd"/>
      <w:r w:rsidR="00B96386">
        <w:rPr>
          <w:rFonts w:ascii="Arial" w:eastAsia="Times New Roman" w:hAnsi="Arial" w:cs="Arial"/>
          <w:bCs/>
          <w:lang w:eastAsia="lv-LV"/>
        </w:rPr>
        <w:t xml:space="preserve"> </w:t>
      </w:r>
      <w:r w:rsidR="00E30391">
        <w:rPr>
          <w:rFonts w:ascii="Arial" w:eastAsia="Times New Roman" w:hAnsi="Arial" w:cs="Arial"/>
          <w:bCs/>
          <w:lang w:eastAsia="lv-LV"/>
        </w:rPr>
        <w:t>5824 EUR (bez PVN)</w:t>
      </w:r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r w:rsidR="00B96386">
        <w:rPr>
          <w:rFonts w:ascii="Arial" w:eastAsia="Times New Roman" w:hAnsi="Arial" w:cs="Arial"/>
          <w:bCs/>
          <w:lang w:eastAsia="lv-LV"/>
        </w:rPr>
        <w:t xml:space="preserve">un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nav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atzīstams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057FE4">
        <w:rPr>
          <w:rFonts w:ascii="Arial" w:eastAsia="Times New Roman" w:hAnsi="Arial" w:cs="Arial"/>
          <w:bCs/>
          <w:lang w:eastAsia="lv-LV"/>
        </w:rPr>
        <w:t>visizdevīgāko</w:t>
      </w:r>
      <w:proofErr w:type="spellEnd"/>
      <w:r w:rsidR="00B96386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>
        <w:rPr>
          <w:rFonts w:ascii="Arial" w:eastAsia="Times New Roman" w:hAnsi="Arial" w:cs="Arial"/>
          <w:bCs/>
          <w:lang w:eastAsia="lv-LV"/>
        </w:rPr>
        <w:t>piedāvājumu</w:t>
      </w:r>
      <w:proofErr w:type="spellEnd"/>
      <w:r w:rsidR="00B96386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="00B96386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="00B96386"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="00B96386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r w:rsidR="00B96386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="00B96386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B96386"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>;</w:t>
      </w:r>
    </w:p>
    <w:p w:rsidR="005E2014" w:rsidRPr="005E2014" w:rsidRDefault="00057FE4" w:rsidP="005E2014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11.2.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10.4.punktu,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pārtraukt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iepirkumu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Nr.2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sakarā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ar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to,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ka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pretednentu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iesniegtie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piedāvājumi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pārsniedz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projekta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r w:rsidR="005E2014" w:rsidRPr="005E2014">
        <w:rPr>
          <w:rFonts w:ascii="Arial" w:eastAsia="Times New Roman" w:hAnsi="Arial" w:cs="Arial"/>
          <w:bCs/>
          <w:lang w:val="lv-LV" w:eastAsia="lv-LV"/>
        </w:rPr>
        <w:t>“Hibrīdās intelektuālās akustiski-optiskās sistēmas izstrāde nemedījamo un migrējošu putnu sugu nodarīto postījumu samazināšanai Latvijas akvakultūras nozarē” (PVS ID 3621) budžetu.</w:t>
      </w:r>
    </w:p>
    <w:p w:rsidR="00E012F1" w:rsidRPr="00360780" w:rsidRDefault="001D7071" w:rsidP="00E012F1">
      <w:pPr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12. </w:t>
      </w:r>
      <w:r w:rsidR="00E012F1" w:rsidRPr="00360780">
        <w:rPr>
          <w:rFonts w:ascii="Arial" w:eastAsia="Times New Roman" w:hAnsi="Arial" w:cs="Arial"/>
          <w:b/>
          <w:lang w:val="lv-LV" w:eastAsia="lv-LV"/>
        </w:rPr>
        <w:t>Lēmuma pieņemšanas datums:</w:t>
      </w:r>
      <w:r w:rsidR="00E012F1" w:rsidRPr="00360780">
        <w:rPr>
          <w:rFonts w:ascii="Arial" w:eastAsia="Times New Roman" w:hAnsi="Arial" w:cs="Arial"/>
          <w:lang w:val="lv-LV" w:eastAsia="lv-LV"/>
        </w:rPr>
        <w:t xml:space="preserve"> </w:t>
      </w:r>
      <w:r w:rsidR="005E2014">
        <w:rPr>
          <w:rFonts w:ascii="Arial" w:eastAsia="Times New Roman" w:hAnsi="Arial" w:cs="Arial"/>
          <w:lang w:val="lv-LV" w:eastAsia="lv-LV"/>
        </w:rPr>
        <w:t>0</w:t>
      </w:r>
      <w:r w:rsidR="00B96386">
        <w:rPr>
          <w:rFonts w:ascii="Arial" w:eastAsia="Times New Roman" w:hAnsi="Arial" w:cs="Arial"/>
          <w:lang w:val="lv-LV" w:eastAsia="lv-LV"/>
        </w:rPr>
        <w:t>5</w:t>
      </w:r>
      <w:r w:rsidR="005E2014">
        <w:rPr>
          <w:rFonts w:ascii="Arial" w:eastAsia="Times New Roman" w:hAnsi="Arial" w:cs="Arial"/>
          <w:lang w:val="lv-LV" w:eastAsia="lv-LV"/>
        </w:rPr>
        <w:t>.12</w:t>
      </w:r>
      <w:r w:rsidR="00E012F1" w:rsidRPr="00360780">
        <w:rPr>
          <w:rFonts w:ascii="Arial" w:eastAsia="Times New Roman" w:hAnsi="Arial" w:cs="Arial"/>
          <w:lang w:val="lv-LV" w:eastAsia="lv-LV"/>
        </w:rPr>
        <w:t>.2018.</w:t>
      </w:r>
    </w:p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13.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/>
          <w:lang w:val="lv-LV" w:eastAsia="lv-LV"/>
        </w:rPr>
        <w:t>Lēmuma pārsūdzēšana: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</w:t>
      </w:r>
      <w:r w:rsidR="001A30C6">
        <w:rPr>
          <w:rFonts w:ascii="Arial" w:eastAsia="Times New Roman" w:hAnsi="Arial" w:cs="Arial"/>
          <w:bCs/>
          <w:lang w:val="lv-LV" w:eastAsia="lv-LV"/>
        </w:rPr>
        <w:t>,</w:t>
      </w:r>
      <w:r w:rsidRPr="00360780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17223">
        <w:rPr>
          <w:rFonts w:ascii="Arial" w:eastAsia="Times New Roman" w:hAnsi="Arial" w:cs="Arial"/>
          <w:lang w:val="lv-LV" w:eastAsia="lv-LV"/>
        </w:rPr>
        <w:t xml:space="preserve">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017223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</w:t>
      </w:r>
      <w:r w:rsidR="006B21B2">
        <w:rPr>
          <w:rFonts w:ascii="Arial" w:eastAsia="Times New Roman" w:hAnsi="Arial" w:cs="Arial"/>
          <w:lang w:val="lv-LV" w:eastAsia="lv-LV"/>
        </w:rPr>
        <w:t>I</w:t>
      </w:r>
      <w:r w:rsidR="000A5CB8">
        <w:rPr>
          <w:rFonts w:ascii="Arial" w:eastAsia="Times New Roman" w:hAnsi="Arial" w:cs="Arial"/>
          <w:lang w:val="lv-LV" w:eastAsia="lv-LV"/>
        </w:rPr>
        <w:t xml:space="preserve">. </w:t>
      </w:r>
      <w:r w:rsidR="006B21B2">
        <w:rPr>
          <w:rFonts w:ascii="Arial" w:eastAsia="Times New Roman" w:hAnsi="Arial" w:cs="Arial"/>
          <w:lang w:val="lv-LV" w:eastAsia="lv-LV"/>
        </w:rPr>
        <w:t>Gusts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</w:t>
      </w:r>
      <w:r w:rsidR="00017223">
        <w:rPr>
          <w:rFonts w:ascii="Arial" w:hAnsi="Arial" w:cs="Arial"/>
          <w:lang w:eastAsia="lv-LV"/>
        </w:rPr>
        <w:t>M</w:t>
      </w:r>
      <w:r w:rsidR="000A5CB8">
        <w:rPr>
          <w:rFonts w:ascii="Arial" w:hAnsi="Arial" w:cs="Arial"/>
          <w:lang w:eastAsia="lv-LV"/>
        </w:rPr>
        <w:t xml:space="preserve">. </w:t>
      </w:r>
      <w:r w:rsidR="00017223">
        <w:rPr>
          <w:rFonts w:ascii="Arial" w:hAnsi="Arial" w:cs="Arial"/>
          <w:lang w:eastAsia="lv-LV"/>
        </w:rPr>
        <w:t>Mandavs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B96386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516"/>
    <w:multiLevelType w:val="multilevel"/>
    <w:tmpl w:val="0A84B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9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17223"/>
    <w:rsid w:val="000405F6"/>
    <w:rsid w:val="0005319E"/>
    <w:rsid w:val="00057FE4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30C6"/>
    <w:rsid w:val="001A4121"/>
    <w:rsid w:val="001B2271"/>
    <w:rsid w:val="001B3E08"/>
    <w:rsid w:val="001D7071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354AC"/>
    <w:rsid w:val="00344EDD"/>
    <w:rsid w:val="00360780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B378E"/>
    <w:rsid w:val="004D7ACF"/>
    <w:rsid w:val="004E1B98"/>
    <w:rsid w:val="00516784"/>
    <w:rsid w:val="00523BE1"/>
    <w:rsid w:val="00536E5E"/>
    <w:rsid w:val="00541D3B"/>
    <w:rsid w:val="00544B47"/>
    <w:rsid w:val="00560FB6"/>
    <w:rsid w:val="00561C8F"/>
    <w:rsid w:val="005A15AE"/>
    <w:rsid w:val="005D34E8"/>
    <w:rsid w:val="005E2014"/>
    <w:rsid w:val="005F0788"/>
    <w:rsid w:val="00611255"/>
    <w:rsid w:val="00617AF7"/>
    <w:rsid w:val="00644A25"/>
    <w:rsid w:val="006677A1"/>
    <w:rsid w:val="0067708F"/>
    <w:rsid w:val="00677F1D"/>
    <w:rsid w:val="006A059E"/>
    <w:rsid w:val="006B21B2"/>
    <w:rsid w:val="006B3182"/>
    <w:rsid w:val="006B4652"/>
    <w:rsid w:val="006B70B1"/>
    <w:rsid w:val="006C5635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46455"/>
    <w:rsid w:val="00A641D8"/>
    <w:rsid w:val="00B06BF3"/>
    <w:rsid w:val="00B07E6B"/>
    <w:rsid w:val="00B3025E"/>
    <w:rsid w:val="00B450CE"/>
    <w:rsid w:val="00B96386"/>
    <w:rsid w:val="00BB5E7B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00C0"/>
    <w:rsid w:val="00D9785C"/>
    <w:rsid w:val="00DB7848"/>
    <w:rsid w:val="00E00D41"/>
    <w:rsid w:val="00E012F1"/>
    <w:rsid w:val="00E3039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EF49F4B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6C5635"/>
    <w:pPr>
      <w:numPr>
        <w:ilvl w:val="1"/>
        <w:numId w:val="12"/>
      </w:numPr>
      <w:spacing w:after="240" w:line="240" w:lineRule="auto"/>
      <w:ind w:left="993" w:hanging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6</cp:revision>
  <cp:lastPrinted>2018-12-04T15:09:00Z</cp:lastPrinted>
  <dcterms:created xsi:type="dcterms:W3CDTF">2018-11-29T09:38:00Z</dcterms:created>
  <dcterms:modified xsi:type="dcterms:W3CDTF">2018-12-05T09:30:00Z</dcterms:modified>
</cp:coreProperties>
</file>