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09" w:type="dxa"/>
        <w:tblLayout w:type="fixed"/>
        <w:tblLook w:val="04A0" w:firstRow="1" w:lastRow="0" w:firstColumn="1" w:lastColumn="0" w:noHBand="0" w:noVBand="1"/>
      </w:tblPr>
      <w:tblGrid>
        <w:gridCol w:w="10774"/>
      </w:tblGrid>
      <w:tr w:rsidR="00B93331" w:rsidRPr="00F179FE" w:rsidTr="00B12404">
        <w:trPr>
          <w:trHeight w:val="4770"/>
        </w:trPr>
        <w:tc>
          <w:tcPr>
            <w:tcW w:w="10774" w:type="dxa"/>
          </w:tcPr>
          <w:p w:rsidR="00B93331" w:rsidRPr="00786B18" w:rsidRDefault="00B93331" w:rsidP="00864601">
            <w:pPr>
              <w:jc w:val="center"/>
              <w:rPr>
                <w:sz w:val="22"/>
                <w:szCs w:val="22"/>
                <w:lang w:val="lv-LV"/>
              </w:rPr>
            </w:pPr>
            <w:r>
              <w:rPr>
                <w:rFonts w:eastAsia="Gulim"/>
                <w:sz w:val="22"/>
                <w:szCs w:val="22"/>
                <w:lang w:val="lv-LV"/>
              </w:rPr>
              <w:t>Slēgta konkursa</w:t>
            </w:r>
            <w:r w:rsidRPr="00786B18">
              <w:rPr>
                <w:b/>
                <w:sz w:val="22"/>
                <w:szCs w:val="22"/>
                <w:lang w:val="lv-LV"/>
              </w:rPr>
              <w:t xml:space="preserve"> </w:t>
            </w:r>
            <w:bookmarkStart w:id="0" w:name="OLE_LINK5"/>
            <w:bookmarkStart w:id="1" w:name="OLE_LINK6"/>
            <w:bookmarkStart w:id="2" w:name="OLE_LINK7"/>
            <w:r w:rsidRPr="00786B18">
              <w:rPr>
                <w:b/>
                <w:bCs/>
                <w:iCs/>
                <w:sz w:val="22"/>
                <w:szCs w:val="22"/>
                <w:lang w:val="lv-LV"/>
              </w:rPr>
              <w:t>„</w:t>
            </w:r>
            <w:bookmarkEnd w:id="0"/>
            <w:bookmarkEnd w:id="1"/>
            <w:bookmarkEnd w:id="2"/>
            <w:r>
              <w:rPr>
                <w:b/>
                <w:bCs/>
                <w:iCs/>
                <w:sz w:val="22"/>
                <w:szCs w:val="22"/>
                <w:lang w:val="lv-LV"/>
              </w:rPr>
              <w:t>Datortehnikas</w:t>
            </w:r>
            <w:r w:rsidRPr="00786B18">
              <w:rPr>
                <w:b/>
                <w:bCs/>
                <w:iCs/>
                <w:sz w:val="22"/>
                <w:szCs w:val="22"/>
                <w:lang w:val="lv-LV"/>
              </w:rPr>
              <w:t xml:space="preserve"> piegāde Rīgas Tehniskās universitātes vajadzībām</w:t>
            </w:r>
            <w:r w:rsidRPr="00786B18">
              <w:rPr>
                <w:b/>
                <w:sz w:val="22"/>
                <w:szCs w:val="22"/>
                <w:lang w:val="lv-LV"/>
              </w:rPr>
              <w:t>”</w:t>
            </w:r>
          </w:p>
          <w:p w:rsidR="00B93331" w:rsidRPr="00786B18" w:rsidRDefault="00B93331" w:rsidP="00864601">
            <w:pPr>
              <w:tabs>
                <w:tab w:val="center" w:pos="4977"/>
                <w:tab w:val="left" w:pos="7725"/>
              </w:tabs>
              <w:jc w:val="center"/>
              <w:rPr>
                <w:sz w:val="22"/>
                <w:szCs w:val="22"/>
                <w:lang w:val="lv-LV"/>
              </w:rPr>
            </w:pPr>
            <w:r>
              <w:rPr>
                <w:sz w:val="22"/>
                <w:szCs w:val="22"/>
                <w:lang w:val="lv-LV"/>
              </w:rPr>
              <w:t xml:space="preserve"> (Identifikācijas Nr. RTU – 2018</w:t>
            </w:r>
            <w:r w:rsidRPr="00786B18">
              <w:rPr>
                <w:sz w:val="22"/>
                <w:szCs w:val="22"/>
                <w:lang w:val="lv-LV"/>
              </w:rPr>
              <w:t>/</w:t>
            </w:r>
            <w:r>
              <w:rPr>
                <w:sz w:val="22"/>
                <w:szCs w:val="22"/>
                <w:lang w:val="lv-LV"/>
              </w:rPr>
              <w:t>100</w:t>
            </w:r>
            <w:r w:rsidRPr="00786B18">
              <w:rPr>
                <w:sz w:val="22"/>
                <w:szCs w:val="22"/>
                <w:lang w:val="lv-LV"/>
              </w:rPr>
              <w:t>)</w:t>
            </w:r>
          </w:p>
          <w:p w:rsidR="00B93331" w:rsidRPr="00786B18" w:rsidRDefault="00B93331" w:rsidP="00864601">
            <w:pPr>
              <w:jc w:val="center"/>
              <w:rPr>
                <w:b/>
                <w:sz w:val="22"/>
                <w:szCs w:val="22"/>
                <w:lang w:val="lv-LV"/>
              </w:rPr>
            </w:pPr>
          </w:p>
          <w:p w:rsidR="00B93331" w:rsidRPr="00786B18" w:rsidRDefault="00F179FE" w:rsidP="00864601">
            <w:pPr>
              <w:jc w:val="center"/>
              <w:rPr>
                <w:sz w:val="22"/>
                <w:szCs w:val="22"/>
                <w:lang w:val="lv-LV"/>
              </w:rPr>
            </w:pPr>
            <w:r>
              <w:rPr>
                <w:sz w:val="22"/>
                <w:szCs w:val="22"/>
                <w:lang w:val="lv-LV"/>
              </w:rPr>
              <w:t>Protokols Nr.3</w:t>
            </w:r>
          </w:p>
          <w:tbl>
            <w:tblPr>
              <w:tblW w:w="10782" w:type="dxa"/>
              <w:tblLayout w:type="fixed"/>
              <w:tblLook w:val="01E0" w:firstRow="1" w:lastRow="1" w:firstColumn="1" w:lastColumn="1" w:noHBand="0" w:noVBand="0"/>
            </w:tblPr>
            <w:tblGrid>
              <w:gridCol w:w="4212"/>
              <w:gridCol w:w="6570"/>
            </w:tblGrid>
            <w:tr w:rsidR="00B93331" w:rsidRPr="00F179FE" w:rsidTr="00864601">
              <w:trPr>
                <w:trHeight w:val="208"/>
              </w:trPr>
              <w:tc>
                <w:tcPr>
                  <w:tcW w:w="4212" w:type="dxa"/>
                  <w:hideMark/>
                </w:tcPr>
                <w:p w:rsidR="00B93331" w:rsidRPr="00786B18" w:rsidRDefault="00B93331" w:rsidP="00864601">
                  <w:pPr>
                    <w:ind w:left="-198"/>
                    <w:jc w:val="both"/>
                    <w:rPr>
                      <w:sz w:val="22"/>
                      <w:szCs w:val="22"/>
                      <w:lang w:val="lv-LV"/>
                    </w:rPr>
                  </w:pPr>
                  <w:r w:rsidRPr="00786B18">
                    <w:rPr>
                      <w:sz w:val="22"/>
                      <w:szCs w:val="22"/>
                      <w:lang w:val="lv-LV"/>
                    </w:rPr>
                    <w:t xml:space="preserve">   </w:t>
                  </w:r>
                </w:p>
                <w:p w:rsidR="00B93331" w:rsidRPr="00786B18" w:rsidRDefault="00B93331" w:rsidP="00B93331">
                  <w:pPr>
                    <w:ind w:left="-198"/>
                    <w:jc w:val="both"/>
                    <w:rPr>
                      <w:sz w:val="22"/>
                      <w:szCs w:val="22"/>
                      <w:lang w:val="lv-LV"/>
                    </w:rPr>
                  </w:pPr>
                  <w:r w:rsidRPr="00786B18">
                    <w:rPr>
                      <w:sz w:val="22"/>
                      <w:szCs w:val="22"/>
                      <w:lang w:val="lv-LV"/>
                    </w:rPr>
                    <w:t xml:space="preserve">  Rīgā, Kaļķu ielā 1 – 322.telpā,     plkst. </w:t>
                  </w:r>
                  <w:r>
                    <w:rPr>
                      <w:sz w:val="22"/>
                      <w:szCs w:val="22"/>
                      <w:lang w:val="lv-LV"/>
                    </w:rPr>
                    <w:t>09</w:t>
                  </w:r>
                  <w:r w:rsidRPr="00786B18">
                    <w:rPr>
                      <w:sz w:val="22"/>
                      <w:szCs w:val="22"/>
                      <w:lang w:val="lv-LV"/>
                    </w:rPr>
                    <w:t>:00</w:t>
                  </w:r>
                </w:p>
              </w:tc>
              <w:tc>
                <w:tcPr>
                  <w:tcW w:w="6570" w:type="dxa"/>
                  <w:hideMark/>
                </w:tcPr>
                <w:p w:rsidR="00B93331" w:rsidRDefault="00B93331" w:rsidP="00717B5D">
                  <w:pPr>
                    <w:rPr>
                      <w:sz w:val="22"/>
                      <w:szCs w:val="22"/>
                      <w:lang w:val="lv-LV"/>
                    </w:rPr>
                  </w:pPr>
                  <w:r w:rsidRPr="00786B18">
                    <w:rPr>
                      <w:sz w:val="22"/>
                      <w:szCs w:val="22"/>
                      <w:lang w:val="lv-LV"/>
                    </w:rPr>
                    <w:t xml:space="preserve">                                                                                  </w:t>
                  </w:r>
                </w:p>
                <w:p w:rsidR="00B93331" w:rsidRPr="00786B18" w:rsidRDefault="00B93331" w:rsidP="00F179FE">
                  <w:pPr>
                    <w:jc w:val="center"/>
                    <w:rPr>
                      <w:sz w:val="22"/>
                      <w:szCs w:val="22"/>
                      <w:lang w:val="lv-LV"/>
                    </w:rPr>
                  </w:pPr>
                  <w:r>
                    <w:rPr>
                      <w:sz w:val="22"/>
                      <w:szCs w:val="22"/>
                      <w:lang w:val="lv-LV"/>
                    </w:rPr>
                    <w:t xml:space="preserve">                                                                        </w:t>
                  </w:r>
                  <w:r w:rsidR="00F179FE">
                    <w:rPr>
                      <w:sz w:val="22"/>
                      <w:szCs w:val="22"/>
                      <w:lang w:val="lv-LV"/>
                    </w:rPr>
                    <w:t xml:space="preserve">                 </w:t>
                  </w:r>
                  <w:r>
                    <w:rPr>
                      <w:sz w:val="22"/>
                      <w:szCs w:val="22"/>
                      <w:lang w:val="lv-LV"/>
                    </w:rPr>
                    <w:t xml:space="preserve"> </w:t>
                  </w:r>
                  <w:r w:rsidR="00F179FE">
                    <w:rPr>
                      <w:sz w:val="22"/>
                      <w:szCs w:val="22"/>
                      <w:lang w:val="lv-LV"/>
                    </w:rPr>
                    <w:t>21</w:t>
                  </w:r>
                  <w:r>
                    <w:rPr>
                      <w:sz w:val="22"/>
                      <w:szCs w:val="22"/>
                      <w:lang w:val="lv-LV"/>
                    </w:rPr>
                    <w:t>.11.2018</w:t>
                  </w:r>
                  <w:r w:rsidRPr="00786B18">
                    <w:rPr>
                      <w:sz w:val="22"/>
                      <w:szCs w:val="22"/>
                      <w:lang w:val="lv-LV"/>
                    </w:rPr>
                    <w:t>.</w:t>
                  </w:r>
                </w:p>
              </w:tc>
            </w:tr>
            <w:tr w:rsidR="00B93331" w:rsidRPr="00F179FE" w:rsidTr="00864601">
              <w:trPr>
                <w:trHeight w:val="208"/>
              </w:trPr>
              <w:tc>
                <w:tcPr>
                  <w:tcW w:w="4212" w:type="dxa"/>
                </w:tcPr>
                <w:p w:rsidR="00B93331" w:rsidRPr="00786B18" w:rsidRDefault="00B93331" w:rsidP="00864601">
                  <w:pPr>
                    <w:ind w:left="-198"/>
                    <w:jc w:val="both"/>
                    <w:rPr>
                      <w:sz w:val="22"/>
                      <w:szCs w:val="22"/>
                      <w:lang w:val="lv-LV"/>
                    </w:rPr>
                  </w:pPr>
                </w:p>
              </w:tc>
              <w:tc>
                <w:tcPr>
                  <w:tcW w:w="6570" w:type="dxa"/>
                </w:tcPr>
                <w:p w:rsidR="00B93331" w:rsidRPr="00786B18" w:rsidRDefault="00B93331" w:rsidP="00864601">
                  <w:pPr>
                    <w:jc w:val="right"/>
                    <w:rPr>
                      <w:sz w:val="22"/>
                      <w:szCs w:val="22"/>
                      <w:lang w:val="lv-LV"/>
                    </w:rPr>
                  </w:pPr>
                </w:p>
              </w:tc>
            </w:tr>
          </w:tbl>
          <w:p w:rsidR="00B93331" w:rsidRPr="00786B18" w:rsidRDefault="00B93331" w:rsidP="00864601">
            <w:pPr>
              <w:jc w:val="both"/>
              <w:rPr>
                <w:b/>
                <w:sz w:val="22"/>
                <w:szCs w:val="22"/>
                <w:lang w:val="lv-LV"/>
              </w:rPr>
            </w:pPr>
            <w:r w:rsidRPr="00786B18">
              <w:rPr>
                <w:sz w:val="22"/>
                <w:szCs w:val="22"/>
                <w:lang w:val="lv-LV"/>
              </w:rPr>
              <w:t>Komisijas priekšsēdētājs:</w:t>
            </w:r>
          </w:p>
          <w:p w:rsidR="00B93331" w:rsidRPr="00786B18" w:rsidRDefault="00B93331" w:rsidP="00F15F22">
            <w:pPr>
              <w:ind w:left="2880" w:hanging="2880"/>
              <w:jc w:val="both"/>
              <w:rPr>
                <w:b/>
                <w:sz w:val="22"/>
                <w:szCs w:val="22"/>
                <w:lang w:val="lv-LV"/>
              </w:rPr>
            </w:pPr>
            <w:r w:rsidRPr="00786B18">
              <w:rPr>
                <w:sz w:val="22"/>
                <w:szCs w:val="22"/>
                <w:lang w:val="lv-LV"/>
              </w:rPr>
              <w:t>Iveta Benga                         Iepirkumu nodaļas vecākais iepirkumu speciālists</w:t>
            </w:r>
          </w:p>
          <w:p w:rsidR="00B93331" w:rsidRPr="00786B18" w:rsidRDefault="00B93331" w:rsidP="00864601">
            <w:pPr>
              <w:jc w:val="both"/>
              <w:rPr>
                <w:b/>
                <w:sz w:val="22"/>
                <w:szCs w:val="22"/>
                <w:lang w:val="lv-LV"/>
              </w:rPr>
            </w:pPr>
            <w:r w:rsidRPr="00786B18">
              <w:rPr>
                <w:sz w:val="22"/>
                <w:szCs w:val="22"/>
                <w:lang w:val="lv-LV"/>
              </w:rPr>
              <w:t>Komisijas locekļi:</w:t>
            </w:r>
            <w:r w:rsidRPr="00786B18">
              <w:rPr>
                <w:sz w:val="22"/>
                <w:szCs w:val="22"/>
                <w:lang w:val="lv-LV"/>
              </w:rPr>
              <w:tab/>
              <w:t xml:space="preserve">         </w:t>
            </w:r>
          </w:p>
          <w:tbl>
            <w:tblPr>
              <w:tblStyle w:val="TableGrid"/>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7351"/>
            </w:tblGrid>
            <w:tr w:rsidR="00B93331" w:rsidRPr="00786B18" w:rsidTr="00AB15FA">
              <w:tc>
                <w:tcPr>
                  <w:tcW w:w="2660" w:type="dxa"/>
                </w:tcPr>
                <w:p w:rsidR="00B93331" w:rsidRPr="00786B18" w:rsidRDefault="00B93331" w:rsidP="00864601">
                  <w:pPr>
                    <w:jc w:val="both"/>
                    <w:rPr>
                      <w:sz w:val="22"/>
                      <w:szCs w:val="22"/>
                      <w:lang w:val="lv-LV"/>
                    </w:rPr>
                  </w:pPr>
                  <w:r w:rsidRPr="00786B18">
                    <w:rPr>
                      <w:sz w:val="22"/>
                      <w:szCs w:val="22"/>
                      <w:lang w:val="lv-LV"/>
                    </w:rPr>
                    <w:t>Krists Ķēniņš</w:t>
                  </w:r>
                </w:p>
              </w:tc>
              <w:tc>
                <w:tcPr>
                  <w:tcW w:w="7351" w:type="dxa"/>
                </w:tcPr>
                <w:p w:rsidR="00B93331" w:rsidRPr="00786B18" w:rsidRDefault="00B93331" w:rsidP="00864601">
                  <w:pPr>
                    <w:jc w:val="both"/>
                    <w:rPr>
                      <w:b/>
                      <w:sz w:val="22"/>
                      <w:szCs w:val="22"/>
                      <w:highlight w:val="yellow"/>
                      <w:lang w:val="lv-LV"/>
                    </w:rPr>
                  </w:pPr>
                  <w:r w:rsidRPr="00786B18">
                    <w:rPr>
                      <w:bCs/>
                      <w:sz w:val="22"/>
                      <w:szCs w:val="22"/>
                      <w:lang w:val="lv-LV"/>
                    </w:rPr>
                    <w:t>Lietotāju atbalsta centra projektu vadītājs</w:t>
                  </w:r>
                </w:p>
              </w:tc>
            </w:tr>
            <w:tr w:rsidR="00B93331" w:rsidRPr="00786B18" w:rsidTr="00B36E93">
              <w:trPr>
                <w:trHeight w:val="322"/>
              </w:trPr>
              <w:tc>
                <w:tcPr>
                  <w:tcW w:w="2660" w:type="dxa"/>
                </w:tcPr>
                <w:p w:rsidR="00B93331" w:rsidRPr="00786B18" w:rsidRDefault="00B93331" w:rsidP="00864601">
                  <w:pPr>
                    <w:jc w:val="both"/>
                    <w:rPr>
                      <w:sz w:val="22"/>
                      <w:szCs w:val="22"/>
                      <w:lang w:val="lv-LV"/>
                    </w:rPr>
                  </w:pPr>
                  <w:r w:rsidRPr="00786B18">
                    <w:rPr>
                      <w:sz w:val="22"/>
                      <w:szCs w:val="22"/>
                      <w:lang w:val="lv-LV"/>
                    </w:rPr>
                    <w:t>Guntis Lazdāns</w:t>
                  </w:r>
                </w:p>
                <w:p w:rsidR="00B93331" w:rsidRPr="00786B18" w:rsidRDefault="00B93331" w:rsidP="00864601">
                  <w:pPr>
                    <w:jc w:val="both"/>
                    <w:rPr>
                      <w:sz w:val="22"/>
                      <w:szCs w:val="22"/>
                      <w:lang w:val="lv-LV"/>
                    </w:rPr>
                  </w:pPr>
                  <w:r w:rsidRPr="00786B18">
                    <w:rPr>
                      <w:sz w:val="22"/>
                      <w:szCs w:val="22"/>
                      <w:lang w:val="lv-LV"/>
                    </w:rPr>
                    <w:t>Imants Pujāts</w:t>
                  </w:r>
                </w:p>
              </w:tc>
              <w:tc>
                <w:tcPr>
                  <w:tcW w:w="7351" w:type="dxa"/>
                </w:tcPr>
                <w:p w:rsidR="00B93331" w:rsidRDefault="00B93331" w:rsidP="00864601">
                  <w:pPr>
                    <w:jc w:val="both"/>
                    <w:rPr>
                      <w:bCs/>
                      <w:sz w:val="22"/>
                      <w:szCs w:val="22"/>
                      <w:lang w:val="lv-LV"/>
                    </w:rPr>
                  </w:pPr>
                  <w:r w:rsidRPr="00786B18">
                    <w:rPr>
                      <w:bCs/>
                      <w:sz w:val="22"/>
                      <w:szCs w:val="22"/>
                      <w:lang w:val="lv-LV"/>
                    </w:rPr>
                    <w:t>Komunikācijas infrastruktūra</w:t>
                  </w:r>
                  <w:r>
                    <w:rPr>
                      <w:bCs/>
                      <w:sz w:val="22"/>
                      <w:szCs w:val="22"/>
                      <w:lang w:val="lv-LV"/>
                    </w:rPr>
                    <w:t>s nodaļas Datorsistēmu un dator</w:t>
                  </w:r>
                  <w:r w:rsidRPr="00786B18">
                    <w:rPr>
                      <w:bCs/>
                      <w:sz w:val="22"/>
                      <w:szCs w:val="22"/>
                      <w:lang w:val="lv-LV"/>
                    </w:rPr>
                    <w:t>tīklu administrators</w:t>
                  </w:r>
                </w:p>
                <w:p w:rsidR="00B93331" w:rsidRPr="00786B18" w:rsidRDefault="00B93331" w:rsidP="00864601">
                  <w:pPr>
                    <w:jc w:val="both"/>
                    <w:rPr>
                      <w:b/>
                      <w:sz w:val="22"/>
                      <w:szCs w:val="22"/>
                      <w:highlight w:val="yellow"/>
                      <w:lang w:val="lv-LV"/>
                    </w:rPr>
                  </w:pPr>
                  <w:r w:rsidRPr="00786B18">
                    <w:rPr>
                      <w:bCs/>
                      <w:sz w:val="22"/>
                      <w:szCs w:val="22"/>
                      <w:lang w:val="lv-LV"/>
                    </w:rPr>
                    <w:t>Informācijas tehnoloģijas departamenta projektu vadītājs</w:t>
                  </w:r>
                </w:p>
              </w:tc>
            </w:tr>
          </w:tbl>
          <w:p w:rsidR="00B93331" w:rsidRDefault="00B93331" w:rsidP="00864601">
            <w:pPr>
              <w:jc w:val="both"/>
              <w:rPr>
                <w:sz w:val="22"/>
                <w:szCs w:val="22"/>
                <w:lang w:val="lv-LV"/>
              </w:rPr>
            </w:pPr>
          </w:p>
          <w:p w:rsidR="00B93331" w:rsidRPr="00786B18" w:rsidRDefault="00B93331" w:rsidP="00864601">
            <w:pPr>
              <w:jc w:val="both"/>
              <w:rPr>
                <w:color w:val="000000"/>
                <w:spacing w:val="-4"/>
                <w:sz w:val="22"/>
                <w:szCs w:val="22"/>
                <w:lang w:val="lv-LV"/>
              </w:rPr>
            </w:pPr>
            <w:r w:rsidRPr="00786B18">
              <w:rPr>
                <w:sz w:val="22"/>
                <w:szCs w:val="22"/>
                <w:lang w:val="lv-LV"/>
              </w:rPr>
              <w:t xml:space="preserve">Komisija izveidota ar RTU finanšu </w:t>
            </w:r>
            <w:r>
              <w:rPr>
                <w:sz w:val="22"/>
                <w:szCs w:val="22"/>
                <w:lang w:val="lv-LV"/>
              </w:rPr>
              <w:t>prorektora 27.09.2018</w:t>
            </w:r>
            <w:r w:rsidRPr="00786B18">
              <w:rPr>
                <w:sz w:val="22"/>
                <w:szCs w:val="22"/>
                <w:lang w:val="lv-LV"/>
              </w:rPr>
              <w:t>.</w:t>
            </w:r>
            <w:r>
              <w:rPr>
                <w:color w:val="000000"/>
                <w:spacing w:val="-4"/>
                <w:sz w:val="22"/>
                <w:szCs w:val="22"/>
                <w:lang w:val="lv-LV"/>
              </w:rPr>
              <w:t>rīkojumu Nr.03000-1.2/44</w:t>
            </w:r>
            <w:r w:rsidRPr="00786B18">
              <w:rPr>
                <w:color w:val="000000"/>
                <w:spacing w:val="-4"/>
                <w:sz w:val="22"/>
                <w:szCs w:val="22"/>
                <w:lang w:val="lv-LV"/>
              </w:rPr>
              <w:t>.</w:t>
            </w:r>
          </w:p>
          <w:p w:rsidR="00B93331" w:rsidRDefault="00B93331" w:rsidP="00864601">
            <w:pPr>
              <w:contextualSpacing/>
              <w:jc w:val="both"/>
              <w:rPr>
                <w:sz w:val="22"/>
                <w:szCs w:val="22"/>
                <w:lang w:val="lv-LV"/>
              </w:rPr>
            </w:pPr>
            <w:r>
              <w:rPr>
                <w:sz w:val="22"/>
                <w:szCs w:val="22"/>
                <w:lang w:val="lv-LV"/>
              </w:rPr>
              <w:t xml:space="preserve">Sēdi vada un protokolē: </w:t>
            </w:r>
            <w:proofErr w:type="spellStart"/>
            <w:r>
              <w:rPr>
                <w:sz w:val="22"/>
                <w:szCs w:val="22"/>
                <w:lang w:val="lv-LV"/>
              </w:rPr>
              <w:t>I.Benga</w:t>
            </w:r>
            <w:proofErr w:type="spellEnd"/>
          </w:p>
          <w:p w:rsidR="00B93331" w:rsidRDefault="00B93331" w:rsidP="00864601">
            <w:pPr>
              <w:contextualSpacing/>
              <w:jc w:val="both"/>
              <w:rPr>
                <w:sz w:val="22"/>
                <w:szCs w:val="22"/>
                <w:lang w:val="lv-LV"/>
              </w:rPr>
            </w:pPr>
          </w:p>
          <w:p w:rsidR="00B93331" w:rsidRDefault="00B93331" w:rsidP="00B93331">
            <w:pPr>
              <w:jc w:val="both"/>
              <w:rPr>
                <w:b/>
                <w:bCs/>
                <w:color w:val="000000" w:themeColor="text1"/>
                <w:sz w:val="22"/>
                <w:szCs w:val="22"/>
                <w:lang w:val="lv-LV"/>
              </w:rPr>
            </w:pPr>
            <w:r w:rsidRPr="00786B18">
              <w:rPr>
                <w:b/>
                <w:bCs/>
                <w:color w:val="000000" w:themeColor="text1"/>
                <w:sz w:val="22"/>
                <w:szCs w:val="22"/>
                <w:lang w:val="lv-LV"/>
              </w:rPr>
              <w:t>Darba kārtībā</w:t>
            </w:r>
            <w:r>
              <w:rPr>
                <w:b/>
                <w:bCs/>
                <w:color w:val="000000" w:themeColor="text1"/>
                <w:sz w:val="22"/>
                <w:szCs w:val="22"/>
                <w:lang w:val="lv-LV"/>
              </w:rPr>
              <w:t>:</w:t>
            </w:r>
          </w:p>
          <w:p w:rsidR="009B14F4" w:rsidRPr="002A653D" w:rsidRDefault="009B14F4" w:rsidP="009B14F4">
            <w:pPr>
              <w:jc w:val="both"/>
              <w:rPr>
                <w:b/>
                <w:lang w:val="lv-LV"/>
              </w:rPr>
            </w:pPr>
            <w:r w:rsidRPr="002A653D">
              <w:rPr>
                <w:b/>
                <w:lang w:val="lv-LV"/>
              </w:rPr>
              <w:t>Potenciālā pretendenta jautājumu izskatīšana un atbildes sniegšana.</w:t>
            </w:r>
          </w:p>
          <w:p w:rsidR="009B14F4" w:rsidRPr="002A653D" w:rsidRDefault="009B14F4" w:rsidP="009B14F4">
            <w:pPr>
              <w:jc w:val="both"/>
              <w:rPr>
                <w:lang w:val="lv-LV"/>
              </w:rPr>
            </w:pPr>
          </w:p>
          <w:p w:rsidR="009B14F4" w:rsidRDefault="009B14F4" w:rsidP="009B14F4">
            <w:pPr>
              <w:jc w:val="both"/>
              <w:rPr>
                <w:lang w:val="lv-LV"/>
              </w:rPr>
            </w:pPr>
            <w:r w:rsidRPr="002A653D">
              <w:rPr>
                <w:lang w:val="lv-LV"/>
              </w:rPr>
              <w:t xml:space="preserve">Komisijas priekšsēdētāja </w:t>
            </w:r>
            <w:proofErr w:type="spellStart"/>
            <w:r w:rsidRPr="002A653D">
              <w:rPr>
                <w:lang w:val="lv-LV"/>
              </w:rPr>
              <w:t>I.Benga</w:t>
            </w:r>
            <w:proofErr w:type="spellEnd"/>
            <w:r w:rsidRPr="002A653D">
              <w:rPr>
                <w:lang w:val="lv-LV"/>
              </w:rPr>
              <w:t xml:space="preserve"> informē, ka</w:t>
            </w:r>
            <w:r w:rsidR="00F179FE">
              <w:rPr>
                <w:lang w:val="lv-LV"/>
              </w:rPr>
              <w:t xml:space="preserve"> 16</w:t>
            </w:r>
            <w:r>
              <w:rPr>
                <w:lang w:val="lv-LV"/>
              </w:rPr>
              <w:t xml:space="preserve">.11.2018. un </w:t>
            </w:r>
            <w:r w:rsidR="00F179FE">
              <w:rPr>
                <w:lang w:val="lv-LV"/>
              </w:rPr>
              <w:t xml:space="preserve">20.11.2018. no iespējamiem </w:t>
            </w:r>
            <w:r w:rsidR="001A2DA0">
              <w:rPr>
                <w:lang w:val="lv-LV"/>
              </w:rPr>
              <w:t>kandidātiem</w:t>
            </w:r>
            <w:r>
              <w:rPr>
                <w:lang w:val="lv-LV"/>
              </w:rPr>
              <w:t xml:space="preserve"> Elektronisko iepirkumu sistēmā ir reģistrēti</w:t>
            </w:r>
            <w:r w:rsidRPr="002A653D">
              <w:rPr>
                <w:lang w:val="lv-LV"/>
              </w:rPr>
              <w:t xml:space="preserve"> jautājumi par </w:t>
            </w:r>
            <w:r w:rsidR="00F179FE">
              <w:rPr>
                <w:lang w:val="lv-LV"/>
              </w:rPr>
              <w:t>pieteikumu iesniegšanas kārtību</w:t>
            </w:r>
            <w:r>
              <w:rPr>
                <w:lang w:val="lv-LV"/>
              </w:rPr>
              <w:t>.</w:t>
            </w:r>
          </w:p>
          <w:p w:rsidR="009B14F4" w:rsidRDefault="009B14F4" w:rsidP="009B14F4">
            <w:pPr>
              <w:jc w:val="both"/>
              <w:rPr>
                <w:lang w:val="lv-LV"/>
              </w:rPr>
            </w:pPr>
          </w:p>
          <w:p w:rsidR="009B14F4" w:rsidRDefault="009B14F4" w:rsidP="009B14F4">
            <w:pPr>
              <w:keepNext/>
              <w:keepLines/>
              <w:jc w:val="both"/>
              <w:rPr>
                <w:lang w:val="lv-LV"/>
              </w:rPr>
            </w:pPr>
            <w:r w:rsidRPr="002A653D">
              <w:rPr>
                <w:lang w:val="lv-LV"/>
              </w:rPr>
              <w:t>Komisijas locekļi iepazīstas ar uzdotajiem jautājumiem un nolemj sniegt šādas atbildes:</w:t>
            </w:r>
          </w:p>
          <w:p w:rsidR="009B14F4" w:rsidRPr="002A653D" w:rsidRDefault="009B14F4" w:rsidP="009B14F4">
            <w:pPr>
              <w:keepNext/>
              <w:keepLines/>
              <w:jc w:val="both"/>
              <w:rPr>
                <w:lang w:val="lv-LV"/>
              </w:rPr>
            </w:pPr>
          </w:p>
          <w:p w:rsidR="009B14F4" w:rsidRPr="00B567B0" w:rsidRDefault="009B14F4" w:rsidP="009B14F4">
            <w:pPr>
              <w:jc w:val="both"/>
              <w:rPr>
                <w:rFonts w:eastAsiaTheme="minorHAnsi" w:cstheme="minorBidi"/>
                <w:szCs w:val="22"/>
                <w:lang w:val="lv-LV"/>
              </w:rPr>
            </w:pPr>
            <w:r w:rsidRPr="002A653D">
              <w:rPr>
                <w:b/>
                <w:lang w:val="lv-LV"/>
              </w:rPr>
              <w:t>1. Jautājums:</w:t>
            </w:r>
            <w:r w:rsidRPr="002A653D">
              <w:rPr>
                <w:lang w:val="lv-LV"/>
              </w:rPr>
              <w:t xml:space="preserve"> </w:t>
            </w:r>
            <w:r w:rsidR="00B567B0" w:rsidRPr="00B567B0">
              <w:rPr>
                <w:rFonts w:eastAsiaTheme="minorHAnsi" w:cstheme="minorBidi"/>
                <w:szCs w:val="22"/>
                <w:lang w:val="lv-LV"/>
              </w:rPr>
              <w:t>Atbilstoši Publisko iepirkumu likumam kā Pretendents var būt arī personu apvienības, ar mērķi izpildīt kvalifikāciju. Konkursa nolikumā, nav definētas prasības un nav noteikta kārtība personu apvienības iesniedzamajiem dokumentiem, kā arī EIS sistēmā piedāvājuma iesniegšanas laukos nav paredzēta iespēja iesniegt dokumentus personu apvienībai. Līdz ar to, lūdzam skaidrot kā piedāvājumu iesniedz personu apvienība?</w:t>
            </w:r>
          </w:p>
          <w:p w:rsidR="00B12404" w:rsidRPr="002D5A31" w:rsidRDefault="009B14F4" w:rsidP="000E545C">
            <w:pPr>
              <w:jc w:val="both"/>
              <w:rPr>
                <w:rFonts w:eastAsiaTheme="minorHAnsi" w:cstheme="minorBidi"/>
                <w:i/>
                <w:lang w:val="lv-LV"/>
              </w:rPr>
            </w:pPr>
            <w:r w:rsidRPr="002A653D">
              <w:rPr>
                <w:b/>
                <w:lang w:val="lv-LV"/>
              </w:rPr>
              <w:t>1. Atbilde:</w:t>
            </w:r>
            <w:r w:rsidRPr="002A653D">
              <w:rPr>
                <w:color w:val="1F497D"/>
                <w:lang w:val="lv-LV"/>
              </w:rPr>
              <w:t xml:space="preserve"> </w:t>
            </w:r>
            <w:r w:rsidR="00B567B0">
              <w:rPr>
                <w:color w:val="1F497D"/>
                <w:lang w:val="lv-LV"/>
              </w:rPr>
              <w:t xml:space="preserve"> </w:t>
            </w:r>
            <w:r w:rsidR="002D5A31" w:rsidRPr="002D5A31">
              <w:rPr>
                <w:rFonts w:eastAsiaTheme="minorHAnsi" w:cstheme="minorBidi"/>
                <w:szCs w:val="22"/>
                <w:lang w:val="lv-LV"/>
              </w:rPr>
              <w:t>Kandidātu atlases nolikums nekādā veidā neierobežo Publisko iepirkumu likumā noteiktās personu apvienības tiesības iesniegt pieteikumu.</w:t>
            </w:r>
            <w:r w:rsidR="002D5A31">
              <w:rPr>
                <w:color w:val="1F497D"/>
                <w:lang w:val="lv-LV"/>
              </w:rPr>
              <w:t xml:space="preserve"> </w:t>
            </w:r>
            <w:r w:rsidR="00B567B0" w:rsidRPr="00B567B0">
              <w:rPr>
                <w:rFonts w:eastAsiaTheme="minorHAnsi" w:cstheme="minorBidi"/>
                <w:szCs w:val="22"/>
                <w:lang w:val="lv-LV"/>
              </w:rPr>
              <w:t>Atbils</w:t>
            </w:r>
            <w:r w:rsidR="00B567B0">
              <w:rPr>
                <w:rFonts w:eastAsiaTheme="minorHAnsi" w:cstheme="minorBidi"/>
                <w:szCs w:val="22"/>
                <w:lang w:val="lv-LV"/>
              </w:rPr>
              <w:t xml:space="preserve">toši kandidātu </w:t>
            </w:r>
            <w:r w:rsidR="00B567B0" w:rsidRPr="002D5A31">
              <w:rPr>
                <w:rFonts w:eastAsiaTheme="minorHAnsi" w:cstheme="minorBidi"/>
                <w:lang w:val="lv-LV"/>
              </w:rPr>
              <w:t>atlases nolikuma 4.5.punktam</w:t>
            </w:r>
            <w:r w:rsidR="00B567B0" w:rsidRPr="002D5A31">
              <w:rPr>
                <w:rFonts w:eastAsiaTheme="minorHAnsi" w:cstheme="minorBidi"/>
                <w:i/>
                <w:lang w:val="lv-LV"/>
              </w:rPr>
              <w:t xml:space="preserve">, ja </w:t>
            </w:r>
            <w:r w:rsidR="00B567B0" w:rsidRPr="002D5A31">
              <w:rPr>
                <w:i/>
                <w:lang w:val="lv-LV"/>
              </w:rPr>
              <w:t>pieteikumu iesniedz fizisko vai juridisko personu apvienība jebkurā to kombinācijā vai personālsabiedrība, jānorāda persona, kura</w:t>
            </w:r>
            <w:r w:rsidR="002D5A31">
              <w:rPr>
                <w:i/>
                <w:lang w:val="lv-LV"/>
              </w:rPr>
              <w:t xml:space="preserve"> pārstāv Piegādātāju apvienību i</w:t>
            </w:r>
            <w:r w:rsidR="00B567B0" w:rsidRPr="002D5A31">
              <w:rPr>
                <w:i/>
                <w:lang w:val="lv-LV"/>
              </w:rPr>
              <w:t>epirkumā, kā arī katras personas atbildības apjoms, veicamo darbu uzskaitījums un vienošanās par sadarbību konkrētā līguma izpildē.</w:t>
            </w:r>
            <w:r w:rsidR="00D67B56">
              <w:rPr>
                <w:i/>
                <w:lang w:val="lv-LV"/>
              </w:rPr>
              <w:t xml:space="preserve"> Tādējādi, minēto informāciju iekļauj vai nu pieteikumā (Nolikuma pielikums Nr.1) vai pievieno atsevišķā datnē. Vienlaicīgi norādām, ka Elektronisko iepirkumu sistēmā pie kandidātu atlases prasībām tehniski ir iespējams pievienot vairākas datnes jebkurā formātā.  </w:t>
            </w:r>
          </w:p>
          <w:p w:rsidR="001A2DA0" w:rsidRPr="001A2DA0" w:rsidRDefault="00827F54" w:rsidP="001A2DA0">
            <w:pPr>
              <w:rPr>
                <w:rFonts w:eastAsiaTheme="minorHAnsi" w:cstheme="minorBidi"/>
                <w:szCs w:val="22"/>
                <w:lang w:val="lv-LV"/>
              </w:rPr>
            </w:pPr>
            <w:r w:rsidRPr="002D5A31">
              <w:rPr>
                <w:b/>
                <w:lang w:val="lv-LV"/>
              </w:rPr>
              <w:t xml:space="preserve">2. Jautājums: </w:t>
            </w:r>
            <w:r w:rsidR="001A2DA0" w:rsidRPr="001A2DA0">
              <w:rPr>
                <w:rFonts w:eastAsiaTheme="minorHAnsi" w:cstheme="minorBidi"/>
                <w:szCs w:val="22"/>
                <w:lang w:val="lv-LV"/>
              </w:rPr>
              <w:t>Lūdzu skaidrot, kā noformējams pieteikums, un kādi dokumenti iesniedzami, ja pretendents ir personu apvienība.</w:t>
            </w:r>
          </w:p>
          <w:p w:rsidR="00916B50" w:rsidRPr="001A2DA0" w:rsidRDefault="00827F54" w:rsidP="00F179FE">
            <w:pPr>
              <w:jc w:val="both"/>
              <w:rPr>
                <w:lang w:val="lv-LV"/>
              </w:rPr>
            </w:pPr>
            <w:r>
              <w:rPr>
                <w:b/>
                <w:lang w:val="lv-LV"/>
              </w:rPr>
              <w:t xml:space="preserve">2.Atbilde: </w:t>
            </w:r>
            <w:r w:rsidR="001A2DA0" w:rsidRPr="001A2DA0">
              <w:rPr>
                <w:lang w:val="lv-LV"/>
              </w:rPr>
              <w:t xml:space="preserve">Ja pieteikumu iesniedz personu apvienība, tad ir iesniedzami visi kandidātu atlases nolikuma 4.3.punktā uzskaitītie dokumenti, </w:t>
            </w:r>
            <w:r w:rsidR="001A2DA0">
              <w:rPr>
                <w:lang w:val="lv-LV"/>
              </w:rPr>
              <w:t xml:space="preserve">kā arī - </w:t>
            </w:r>
            <w:r w:rsidR="001A2DA0" w:rsidRPr="001A2DA0">
              <w:rPr>
                <w:lang w:val="lv-LV"/>
              </w:rPr>
              <w:t xml:space="preserve">papildus </w:t>
            </w:r>
            <w:r w:rsidR="001A2DA0" w:rsidRPr="001A2DA0">
              <w:rPr>
                <w:lang w:val="lv-LV"/>
              </w:rPr>
              <w:t>jānorāda persona, kura pārstāv Piegādātāju apvienību iepirkumā, kā arī katras personas atbildības apjoms, veicamo darbu uzskaitījums un vienošanās par sadarbību konkrētā līguma izpildē.</w:t>
            </w:r>
          </w:p>
          <w:p w:rsidR="009B14F4" w:rsidRPr="002D1AFB" w:rsidRDefault="009B14F4" w:rsidP="009B14F4">
            <w:pPr>
              <w:jc w:val="both"/>
              <w:rPr>
                <w:b/>
                <w:lang w:val="lv-LV"/>
              </w:rPr>
            </w:pPr>
          </w:p>
          <w:p w:rsidR="005E535C" w:rsidRPr="001A2DA0" w:rsidRDefault="009B14F4" w:rsidP="001A2DA0">
            <w:pPr>
              <w:shd w:val="clear" w:color="auto" w:fill="FFFFFF"/>
              <w:tabs>
                <w:tab w:val="left" w:pos="7925"/>
              </w:tabs>
              <w:jc w:val="both"/>
              <w:rPr>
                <w:b/>
                <w:color w:val="000000"/>
                <w:spacing w:val="-8"/>
                <w:u w:val="single"/>
                <w:lang w:val="lv-LV"/>
              </w:rPr>
            </w:pPr>
            <w:r w:rsidRPr="009B14F4">
              <w:rPr>
                <w:b/>
                <w:color w:val="000000"/>
                <w:spacing w:val="-8"/>
                <w:u w:val="single"/>
                <w:lang w:val="lv-LV"/>
              </w:rPr>
              <w:t>Komisija vienbalsīgi nolemj:</w:t>
            </w:r>
          </w:p>
          <w:p w:rsidR="001A2DA0" w:rsidRPr="001A2DA0" w:rsidRDefault="00B12404" w:rsidP="009B14F4">
            <w:pPr>
              <w:pStyle w:val="ListParagraph"/>
              <w:numPr>
                <w:ilvl w:val="0"/>
                <w:numId w:val="13"/>
              </w:numPr>
              <w:shd w:val="clear" w:color="auto" w:fill="FFFFFF"/>
              <w:tabs>
                <w:tab w:val="left" w:pos="7925"/>
              </w:tabs>
              <w:jc w:val="both"/>
              <w:rPr>
                <w:b/>
                <w:color w:val="000000"/>
                <w:spacing w:val="-8"/>
                <w:lang w:val="lv-LV"/>
              </w:rPr>
            </w:pPr>
            <w:r>
              <w:rPr>
                <w:b/>
                <w:lang w:val="lv-LV"/>
              </w:rPr>
              <w:t>I</w:t>
            </w:r>
            <w:r w:rsidR="009B14F4" w:rsidRPr="00B12404">
              <w:rPr>
                <w:b/>
                <w:lang w:val="lv-LV"/>
              </w:rPr>
              <w:t>nformēt iespējamo</w:t>
            </w:r>
            <w:r w:rsidR="001A2DA0">
              <w:rPr>
                <w:b/>
                <w:lang w:val="lv-LV"/>
              </w:rPr>
              <w:t>s</w:t>
            </w:r>
            <w:r w:rsidR="009B14F4" w:rsidRPr="00B12404">
              <w:rPr>
                <w:b/>
                <w:lang w:val="lv-LV"/>
              </w:rPr>
              <w:t xml:space="preserve"> </w:t>
            </w:r>
            <w:r w:rsidR="001A2DA0">
              <w:rPr>
                <w:b/>
                <w:lang w:val="lv-LV"/>
              </w:rPr>
              <w:t>kandidātus</w:t>
            </w:r>
            <w:r w:rsidR="009B14F4" w:rsidRPr="00B12404">
              <w:rPr>
                <w:b/>
                <w:lang w:val="lv-LV"/>
              </w:rPr>
              <w:t xml:space="preserve"> par atbildēm</w:t>
            </w:r>
            <w:r w:rsidR="001A2DA0">
              <w:rPr>
                <w:b/>
                <w:lang w:val="lv-LV"/>
              </w:rPr>
              <w:t>;</w:t>
            </w:r>
          </w:p>
          <w:p w:rsidR="009B14F4" w:rsidRPr="005863D9" w:rsidRDefault="001A2DA0" w:rsidP="005863D9">
            <w:pPr>
              <w:pStyle w:val="ListParagraph"/>
              <w:numPr>
                <w:ilvl w:val="0"/>
                <w:numId w:val="13"/>
              </w:numPr>
              <w:shd w:val="clear" w:color="auto" w:fill="FFFFFF"/>
              <w:tabs>
                <w:tab w:val="left" w:pos="7925"/>
              </w:tabs>
              <w:jc w:val="both"/>
              <w:rPr>
                <w:b/>
                <w:color w:val="000000"/>
                <w:spacing w:val="-8"/>
                <w:lang w:val="lv-LV"/>
              </w:rPr>
            </w:pPr>
            <w:r>
              <w:rPr>
                <w:b/>
                <w:lang w:val="lv-LV"/>
              </w:rPr>
              <w:t>Atbildes</w:t>
            </w:r>
            <w:r w:rsidR="009B14F4" w:rsidRPr="00B12404">
              <w:rPr>
                <w:b/>
                <w:lang w:val="lv-LV"/>
              </w:rPr>
              <w:t xml:space="preserve"> publicēt </w:t>
            </w:r>
            <w:hyperlink r:id="rId5" w:history="1">
              <w:r w:rsidR="009B14F4" w:rsidRPr="00B12404">
                <w:rPr>
                  <w:b/>
                  <w:color w:val="0563C1" w:themeColor="hyperlink"/>
                  <w:u w:val="single"/>
                  <w:lang w:val="lv-LV"/>
                </w:rPr>
                <w:t>www.eis.gov.lv</w:t>
              </w:r>
            </w:hyperlink>
            <w:r w:rsidR="009B14F4" w:rsidRPr="00B12404">
              <w:rPr>
                <w:b/>
                <w:lang w:val="lv-LV"/>
              </w:rPr>
              <w:t xml:space="preserve"> (Elektronisko iepirkumu sistēmā) un pasūtītāja tīmekļa vietnē.</w:t>
            </w:r>
            <w:r w:rsidR="009B14F4" w:rsidRPr="005863D9">
              <w:rPr>
                <w:b/>
                <w:lang w:val="lv-LV"/>
              </w:rPr>
              <w:t xml:space="preserve"> </w:t>
            </w:r>
          </w:p>
          <w:p w:rsidR="005863D9" w:rsidRPr="005863D9" w:rsidRDefault="005863D9" w:rsidP="005863D9">
            <w:pPr>
              <w:pStyle w:val="ListParagraph"/>
              <w:shd w:val="clear" w:color="auto" w:fill="FFFFFF"/>
              <w:tabs>
                <w:tab w:val="left" w:pos="7925"/>
              </w:tabs>
              <w:jc w:val="both"/>
              <w:rPr>
                <w:b/>
                <w:color w:val="000000"/>
                <w:spacing w:val="-8"/>
                <w:lang w:val="lv-LV"/>
              </w:rPr>
            </w:pPr>
          </w:p>
          <w:p w:rsidR="009B14F4" w:rsidRPr="002A653D" w:rsidRDefault="005863D9" w:rsidP="009B14F4">
            <w:pPr>
              <w:jc w:val="both"/>
              <w:rPr>
                <w:lang w:val="lv-LV"/>
              </w:rPr>
            </w:pPr>
            <w:r>
              <w:rPr>
                <w:lang w:val="lv-LV"/>
              </w:rPr>
              <w:t>Sēdi slēdz plkst. 9:20.</w:t>
            </w:r>
          </w:p>
          <w:p w:rsidR="00B93331" w:rsidRPr="00786B18" w:rsidRDefault="00B93331" w:rsidP="00864601">
            <w:pPr>
              <w:contextualSpacing/>
              <w:jc w:val="both"/>
              <w:rPr>
                <w:sz w:val="22"/>
                <w:szCs w:val="22"/>
                <w:lang w:val="lv-LV"/>
              </w:rPr>
            </w:pPr>
          </w:p>
        </w:tc>
      </w:tr>
      <w:tr w:rsidR="00B93331" w:rsidRPr="00F179FE" w:rsidTr="00B12404">
        <w:trPr>
          <w:trHeight w:val="5458"/>
        </w:trPr>
        <w:tc>
          <w:tcPr>
            <w:tcW w:w="10774" w:type="dxa"/>
          </w:tcPr>
          <w:p w:rsidR="00B93331" w:rsidRPr="00F15F22" w:rsidRDefault="00B93331" w:rsidP="00F15F22">
            <w:pPr>
              <w:jc w:val="both"/>
              <w:rPr>
                <w:color w:val="000000" w:themeColor="text1"/>
                <w:sz w:val="22"/>
                <w:szCs w:val="22"/>
                <w:lang w:val="lv-LV"/>
              </w:rPr>
            </w:pPr>
          </w:p>
          <w:tbl>
            <w:tblPr>
              <w:tblW w:w="9870" w:type="dxa"/>
              <w:tblLayout w:type="fixed"/>
              <w:tblLook w:val="01E0" w:firstRow="1" w:lastRow="1" w:firstColumn="1" w:lastColumn="1" w:noHBand="0" w:noVBand="0"/>
            </w:tblPr>
            <w:tblGrid>
              <w:gridCol w:w="6181"/>
              <w:gridCol w:w="3689"/>
            </w:tblGrid>
            <w:tr w:rsidR="00B93331" w:rsidRPr="005863D9" w:rsidTr="00631712">
              <w:tc>
                <w:tcPr>
                  <w:tcW w:w="6181" w:type="dxa"/>
                </w:tcPr>
                <w:p w:rsidR="00B93331" w:rsidRPr="005863D9" w:rsidRDefault="00B93331" w:rsidP="00864601">
                  <w:pPr>
                    <w:jc w:val="both"/>
                    <w:rPr>
                      <w:color w:val="000000" w:themeColor="text1"/>
                      <w:lang w:val="lv-LV"/>
                    </w:rPr>
                  </w:pPr>
                  <w:r w:rsidRPr="005863D9">
                    <w:rPr>
                      <w:color w:val="000000" w:themeColor="text1"/>
                      <w:lang w:val="lv-LV"/>
                    </w:rPr>
                    <w:t>Komisijas priekšsēdētājs:</w:t>
                  </w:r>
                </w:p>
              </w:tc>
              <w:tc>
                <w:tcPr>
                  <w:tcW w:w="3689" w:type="dxa"/>
                </w:tcPr>
                <w:p w:rsidR="00B93331" w:rsidRPr="005863D9" w:rsidRDefault="00B93331" w:rsidP="00864601">
                  <w:pPr>
                    <w:jc w:val="right"/>
                    <w:rPr>
                      <w:color w:val="000000" w:themeColor="text1"/>
                      <w:lang w:val="lv-LV"/>
                    </w:rPr>
                  </w:pPr>
                  <w:proofErr w:type="spellStart"/>
                  <w:r w:rsidRPr="005863D9">
                    <w:rPr>
                      <w:color w:val="000000" w:themeColor="text1"/>
                      <w:lang w:val="lv-LV"/>
                    </w:rPr>
                    <w:t>I.Benga</w:t>
                  </w:r>
                  <w:proofErr w:type="spellEnd"/>
                </w:p>
              </w:tc>
            </w:tr>
            <w:tr w:rsidR="00B93331" w:rsidRPr="005863D9" w:rsidTr="00EE3161">
              <w:tc>
                <w:tcPr>
                  <w:tcW w:w="6181" w:type="dxa"/>
                </w:tcPr>
                <w:p w:rsidR="00B93331" w:rsidRPr="005863D9" w:rsidRDefault="00B93331" w:rsidP="00864601">
                  <w:pPr>
                    <w:jc w:val="both"/>
                    <w:rPr>
                      <w:color w:val="000000" w:themeColor="text1"/>
                      <w:lang w:val="lv-LV"/>
                    </w:rPr>
                  </w:pPr>
                </w:p>
                <w:p w:rsidR="00B93331" w:rsidRPr="005863D9" w:rsidRDefault="00B93331" w:rsidP="00864601">
                  <w:pPr>
                    <w:jc w:val="both"/>
                    <w:rPr>
                      <w:color w:val="000000" w:themeColor="text1"/>
                      <w:lang w:val="lv-LV"/>
                    </w:rPr>
                  </w:pPr>
                  <w:r w:rsidRPr="005863D9">
                    <w:rPr>
                      <w:color w:val="000000" w:themeColor="text1"/>
                      <w:lang w:val="lv-LV"/>
                    </w:rPr>
                    <w:t>Komisijas locekļi:</w:t>
                  </w:r>
                </w:p>
              </w:tc>
              <w:tc>
                <w:tcPr>
                  <w:tcW w:w="3689" w:type="dxa"/>
                </w:tcPr>
                <w:p w:rsidR="00B93331" w:rsidRPr="005863D9" w:rsidRDefault="00B93331" w:rsidP="00864601">
                  <w:pPr>
                    <w:jc w:val="right"/>
                    <w:rPr>
                      <w:color w:val="000000" w:themeColor="text1"/>
                      <w:lang w:val="lv-LV"/>
                    </w:rPr>
                  </w:pPr>
                </w:p>
                <w:p w:rsidR="00B93331" w:rsidRPr="005863D9" w:rsidRDefault="00B93331" w:rsidP="00864601">
                  <w:pPr>
                    <w:jc w:val="right"/>
                    <w:rPr>
                      <w:color w:val="000000"/>
                      <w:lang w:val="lv-LV" w:eastAsia="lv-LV"/>
                    </w:rPr>
                  </w:pPr>
                  <w:proofErr w:type="spellStart"/>
                  <w:r w:rsidRPr="005863D9">
                    <w:rPr>
                      <w:color w:val="000000"/>
                      <w:lang w:val="lv-LV" w:eastAsia="lv-LV"/>
                    </w:rPr>
                    <w:t>K.Ķēniņš</w:t>
                  </w:r>
                  <w:proofErr w:type="spellEnd"/>
                </w:p>
                <w:p w:rsidR="00B93331" w:rsidRPr="005863D9" w:rsidRDefault="00B93331" w:rsidP="00864601">
                  <w:pPr>
                    <w:rPr>
                      <w:color w:val="000000"/>
                      <w:lang w:val="lv-LV" w:eastAsia="lv-LV"/>
                    </w:rPr>
                  </w:pPr>
                </w:p>
                <w:p w:rsidR="00B93331" w:rsidRPr="005863D9" w:rsidRDefault="00B93331" w:rsidP="00864601">
                  <w:pPr>
                    <w:jc w:val="right"/>
                    <w:rPr>
                      <w:color w:val="000000"/>
                      <w:lang w:val="lv-LV" w:eastAsia="lv-LV"/>
                    </w:rPr>
                  </w:pPr>
                  <w:proofErr w:type="spellStart"/>
                  <w:r w:rsidRPr="005863D9">
                    <w:rPr>
                      <w:color w:val="000000"/>
                      <w:lang w:val="lv-LV" w:eastAsia="lv-LV"/>
                    </w:rPr>
                    <w:t>I.Pujāts</w:t>
                  </w:r>
                  <w:proofErr w:type="spellEnd"/>
                </w:p>
                <w:p w:rsidR="00B93331" w:rsidRPr="005863D9" w:rsidRDefault="00B93331" w:rsidP="00864601">
                  <w:pPr>
                    <w:jc w:val="right"/>
                    <w:rPr>
                      <w:color w:val="000000"/>
                      <w:lang w:val="lv-LV" w:eastAsia="lv-LV"/>
                    </w:rPr>
                  </w:pPr>
                </w:p>
                <w:p w:rsidR="00B93331" w:rsidRPr="005863D9" w:rsidRDefault="00B93331" w:rsidP="00C06DDF">
                  <w:pPr>
                    <w:jc w:val="right"/>
                    <w:rPr>
                      <w:color w:val="000000"/>
                      <w:lang w:val="lv-LV" w:eastAsia="lv-LV"/>
                    </w:rPr>
                  </w:pPr>
                  <w:proofErr w:type="spellStart"/>
                  <w:r w:rsidRPr="005863D9">
                    <w:rPr>
                      <w:color w:val="000000"/>
                      <w:lang w:val="lv-LV" w:eastAsia="lv-LV"/>
                    </w:rPr>
                    <w:t>G.Lazdāns</w:t>
                  </w:r>
                  <w:proofErr w:type="spellEnd"/>
                  <w:r w:rsidRPr="005863D9">
                    <w:rPr>
                      <w:color w:val="000000"/>
                      <w:lang w:val="lv-LV"/>
                    </w:rPr>
                    <w:t xml:space="preserve"> </w:t>
                  </w:r>
                </w:p>
              </w:tc>
            </w:tr>
          </w:tbl>
          <w:p w:rsidR="00B93331" w:rsidRPr="00786B18" w:rsidRDefault="00B93331" w:rsidP="00864601">
            <w:pPr>
              <w:rPr>
                <w:color w:val="000000" w:themeColor="text1"/>
                <w:sz w:val="22"/>
                <w:szCs w:val="22"/>
                <w:lang w:val="lv-LV"/>
              </w:rPr>
            </w:pPr>
            <w:bookmarkStart w:id="3" w:name="_GoBack"/>
            <w:bookmarkEnd w:id="3"/>
          </w:p>
        </w:tc>
      </w:tr>
    </w:tbl>
    <w:p w:rsidR="00717B5D" w:rsidRPr="009B75F9" w:rsidRDefault="00717B5D" w:rsidP="00C06DDF">
      <w:pPr>
        <w:rPr>
          <w:sz w:val="22"/>
          <w:szCs w:val="22"/>
          <w:lang w:val="lv-LV"/>
        </w:rPr>
      </w:pPr>
    </w:p>
    <w:sectPr w:rsidR="00717B5D" w:rsidRPr="009B75F9" w:rsidSect="00B124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20441"/>
    <w:multiLevelType w:val="hybridMultilevel"/>
    <w:tmpl w:val="5F6C0A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5C7C28"/>
    <w:multiLevelType w:val="hybridMultilevel"/>
    <w:tmpl w:val="A1BE8E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0457E4"/>
    <w:multiLevelType w:val="multilevel"/>
    <w:tmpl w:val="2B804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BE48FA"/>
    <w:multiLevelType w:val="hybridMultilevel"/>
    <w:tmpl w:val="041876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F31620E"/>
    <w:multiLevelType w:val="multilevel"/>
    <w:tmpl w:val="2C2859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3C27656"/>
    <w:multiLevelType w:val="multilevel"/>
    <w:tmpl w:val="14A67DE6"/>
    <w:lvl w:ilvl="0">
      <w:start w:val="1"/>
      <w:numFmt w:val="decimal"/>
      <w:lvlText w:val="%1."/>
      <w:lvlJc w:val="left"/>
      <w:pPr>
        <w:ind w:left="450" w:hanging="360"/>
      </w:pPr>
      <w:rPr>
        <w:rFonts w:hint="default"/>
      </w:rPr>
    </w:lvl>
    <w:lvl w:ilvl="1">
      <w:start w:val="1"/>
      <w:numFmt w:val="decimal"/>
      <w:isLgl/>
      <w:lvlText w:val="%2)"/>
      <w:lvlJc w:val="left"/>
      <w:pPr>
        <w:ind w:left="1800" w:hanging="360"/>
      </w:pPr>
      <w:rPr>
        <w:rFonts w:ascii="Times New Roman" w:eastAsia="Times New Roman" w:hAnsi="Times New Roman" w:cs="Times New Roman"/>
        <w:color w:val="000000" w:themeColor="text1"/>
      </w:rPr>
    </w:lvl>
    <w:lvl w:ilvl="2">
      <w:start w:val="1"/>
      <w:numFmt w:val="decimal"/>
      <w:isLgl/>
      <w:lvlText w:val="%1.%2.%3."/>
      <w:lvlJc w:val="left"/>
      <w:pPr>
        <w:ind w:left="3240" w:hanging="720"/>
      </w:pPr>
      <w:rPr>
        <w:rFonts w:hint="default"/>
        <w:color w:val="000000" w:themeColor="text1"/>
      </w:rPr>
    </w:lvl>
    <w:lvl w:ilvl="3">
      <w:start w:val="1"/>
      <w:numFmt w:val="decimal"/>
      <w:isLgl/>
      <w:lvlText w:val="%1.%2.%3.%4."/>
      <w:lvlJc w:val="left"/>
      <w:pPr>
        <w:ind w:left="4320" w:hanging="720"/>
      </w:pPr>
      <w:rPr>
        <w:rFonts w:hint="default"/>
        <w:color w:val="000000" w:themeColor="text1"/>
      </w:rPr>
    </w:lvl>
    <w:lvl w:ilvl="4">
      <w:start w:val="1"/>
      <w:numFmt w:val="decimal"/>
      <w:isLgl/>
      <w:lvlText w:val="%1.%2.%3.%4.%5."/>
      <w:lvlJc w:val="left"/>
      <w:pPr>
        <w:ind w:left="5760" w:hanging="1080"/>
      </w:pPr>
      <w:rPr>
        <w:rFonts w:hint="default"/>
        <w:color w:val="000000" w:themeColor="text1"/>
      </w:rPr>
    </w:lvl>
    <w:lvl w:ilvl="5">
      <w:start w:val="1"/>
      <w:numFmt w:val="decimal"/>
      <w:isLgl/>
      <w:lvlText w:val="%1.%2.%3.%4.%5.%6."/>
      <w:lvlJc w:val="left"/>
      <w:pPr>
        <w:ind w:left="6840" w:hanging="1080"/>
      </w:pPr>
      <w:rPr>
        <w:rFonts w:hint="default"/>
        <w:color w:val="000000" w:themeColor="text1"/>
      </w:rPr>
    </w:lvl>
    <w:lvl w:ilvl="6">
      <w:start w:val="1"/>
      <w:numFmt w:val="decimal"/>
      <w:isLgl/>
      <w:lvlText w:val="%1.%2.%3.%4.%5.%6.%7."/>
      <w:lvlJc w:val="left"/>
      <w:pPr>
        <w:ind w:left="8280" w:hanging="1440"/>
      </w:pPr>
      <w:rPr>
        <w:rFonts w:hint="default"/>
        <w:color w:val="000000" w:themeColor="text1"/>
      </w:rPr>
    </w:lvl>
    <w:lvl w:ilvl="7">
      <w:start w:val="1"/>
      <w:numFmt w:val="decimal"/>
      <w:isLgl/>
      <w:lvlText w:val="%1.%2.%3.%4.%5.%6.%7.%8."/>
      <w:lvlJc w:val="left"/>
      <w:pPr>
        <w:ind w:left="9360" w:hanging="1440"/>
      </w:pPr>
      <w:rPr>
        <w:rFonts w:hint="default"/>
        <w:color w:val="000000" w:themeColor="text1"/>
      </w:rPr>
    </w:lvl>
    <w:lvl w:ilvl="8">
      <w:start w:val="1"/>
      <w:numFmt w:val="decimal"/>
      <w:isLgl/>
      <w:lvlText w:val="%1.%2.%3.%4.%5.%6.%7.%8.%9."/>
      <w:lvlJc w:val="left"/>
      <w:pPr>
        <w:ind w:left="10800" w:hanging="1800"/>
      </w:pPr>
      <w:rPr>
        <w:rFonts w:hint="default"/>
        <w:color w:val="000000" w:themeColor="text1"/>
      </w:rPr>
    </w:lvl>
  </w:abstractNum>
  <w:abstractNum w:abstractNumId="6"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66F7683A"/>
    <w:multiLevelType w:val="multilevel"/>
    <w:tmpl w:val="956A6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8F1E13"/>
    <w:multiLevelType w:val="multilevel"/>
    <w:tmpl w:val="C1EE5742"/>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ascii="Times New Roman" w:hAnsi="Times New Roman" w:cs="Times New Roman"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9" w15:restartNumberingAfterBreak="0">
    <w:nsid w:val="7B6F2407"/>
    <w:multiLevelType w:val="hybridMultilevel"/>
    <w:tmpl w:val="9D6488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DC126F4"/>
    <w:multiLevelType w:val="multilevel"/>
    <w:tmpl w:val="956A6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5C65AA"/>
    <w:multiLevelType w:val="multilevel"/>
    <w:tmpl w:val="F2BCC7EC"/>
    <w:lvl w:ilvl="0">
      <w:start w:val="2"/>
      <w:numFmt w:val="decimal"/>
      <w:lvlText w:val="%1."/>
      <w:lvlJc w:val="left"/>
      <w:pPr>
        <w:ind w:left="360" w:hanging="360"/>
      </w:pPr>
      <w:rPr>
        <w:rFonts w:hint="default"/>
        <w:b/>
        <w:color w:val="auto"/>
        <w:sz w:val="24"/>
        <w:szCs w:val="24"/>
      </w:rPr>
    </w:lvl>
    <w:lvl w:ilvl="1">
      <w:start w:val="1"/>
      <w:numFmt w:val="decimal"/>
      <w:lvlText w:val="%1.%2."/>
      <w:lvlJc w:val="left"/>
      <w:pPr>
        <w:ind w:left="394" w:hanging="360"/>
      </w:pPr>
      <w:rPr>
        <w:rFonts w:ascii="Times New Roman" w:hAnsi="Times New Roman" w:cs="Times New Roman" w:hint="default"/>
        <w:b w:val="0"/>
        <w:color w:val="auto"/>
        <w:sz w:val="22"/>
        <w:szCs w:val="22"/>
        <w:lang w:val="lv-LV"/>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 w15:restartNumberingAfterBreak="0">
    <w:nsid w:val="7E821309"/>
    <w:multiLevelType w:val="hybridMultilevel"/>
    <w:tmpl w:val="0CD46D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8"/>
  </w:num>
  <w:num w:numId="6">
    <w:abstractNumId w:val="12"/>
  </w:num>
  <w:num w:numId="7">
    <w:abstractNumId w:val="0"/>
  </w:num>
  <w:num w:numId="8">
    <w:abstractNumId w:val="7"/>
  </w:num>
  <w:num w:numId="9">
    <w:abstractNumId w:val="11"/>
  </w:num>
  <w:num w:numId="10">
    <w:abstractNumId w:val="10"/>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5D"/>
    <w:rsid w:val="000E545C"/>
    <w:rsid w:val="0011761F"/>
    <w:rsid w:val="001A2DA0"/>
    <w:rsid w:val="001E3A1D"/>
    <w:rsid w:val="001F3664"/>
    <w:rsid w:val="002D5A31"/>
    <w:rsid w:val="003A7161"/>
    <w:rsid w:val="00433B9D"/>
    <w:rsid w:val="00507500"/>
    <w:rsid w:val="005401E3"/>
    <w:rsid w:val="00551AA5"/>
    <w:rsid w:val="00582CF9"/>
    <w:rsid w:val="005863D9"/>
    <w:rsid w:val="005E535C"/>
    <w:rsid w:val="00692DDA"/>
    <w:rsid w:val="00696CD8"/>
    <w:rsid w:val="006E0CAE"/>
    <w:rsid w:val="0070525C"/>
    <w:rsid w:val="00717B5D"/>
    <w:rsid w:val="00786B18"/>
    <w:rsid w:val="007D3884"/>
    <w:rsid w:val="00827F54"/>
    <w:rsid w:val="00916B50"/>
    <w:rsid w:val="009326D9"/>
    <w:rsid w:val="009A17B1"/>
    <w:rsid w:val="009B14F4"/>
    <w:rsid w:val="009B19B9"/>
    <w:rsid w:val="009B75F9"/>
    <w:rsid w:val="00A01DB8"/>
    <w:rsid w:val="00AB15FA"/>
    <w:rsid w:val="00B12404"/>
    <w:rsid w:val="00B36E93"/>
    <w:rsid w:val="00B567B0"/>
    <w:rsid w:val="00B93331"/>
    <w:rsid w:val="00C06DDF"/>
    <w:rsid w:val="00CB3331"/>
    <w:rsid w:val="00CB5DE0"/>
    <w:rsid w:val="00D10ECA"/>
    <w:rsid w:val="00D67B56"/>
    <w:rsid w:val="00E82B09"/>
    <w:rsid w:val="00EB4189"/>
    <w:rsid w:val="00F15F22"/>
    <w:rsid w:val="00F179FE"/>
    <w:rsid w:val="00FD02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0379"/>
  <w15:chartTrackingRefBased/>
  <w15:docId w15:val="{02997086-91C4-4FAC-87FC-98BC4B74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B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7B5D"/>
    <w:pPr>
      <w:ind w:left="720"/>
      <w:contextualSpacing/>
    </w:pPr>
  </w:style>
  <w:style w:type="character" w:customStyle="1" w:styleId="ListParagraphChar">
    <w:name w:val="List Paragraph Char"/>
    <w:link w:val="ListParagraph"/>
    <w:uiPriority w:val="34"/>
    <w:locked/>
    <w:rsid w:val="00717B5D"/>
    <w:rPr>
      <w:rFonts w:ascii="Times New Roman" w:eastAsia="Times New Roman" w:hAnsi="Times New Roman" w:cs="Times New Roman"/>
      <w:sz w:val="24"/>
      <w:szCs w:val="24"/>
      <w:lang w:val="en-US"/>
    </w:rPr>
  </w:style>
  <w:style w:type="table" w:styleId="TableGrid">
    <w:name w:val="Table Grid"/>
    <w:basedOn w:val="TableNormal"/>
    <w:uiPriority w:val="59"/>
    <w:rsid w:val="0071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B5D"/>
    <w:rPr>
      <w:color w:val="0563C1" w:themeColor="hyperlink"/>
      <w:u w:val="single"/>
    </w:rPr>
  </w:style>
  <w:style w:type="paragraph" w:styleId="BalloonText">
    <w:name w:val="Balloon Text"/>
    <w:basedOn w:val="Normal"/>
    <w:link w:val="BalloonTextChar"/>
    <w:uiPriority w:val="99"/>
    <w:semiHidden/>
    <w:unhideWhenUsed/>
    <w:rsid w:val="00C06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DF"/>
    <w:rPr>
      <w:rFonts w:ascii="Segoe UI" w:eastAsia="Times New Roman" w:hAnsi="Segoe UI" w:cs="Segoe UI"/>
      <w:sz w:val="18"/>
      <w:szCs w:val="18"/>
      <w:lang w:val="en-US"/>
    </w:rPr>
  </w:style>
  <w:style w:type="paragraph" w:styleId="CommentText">
    <w:name w:val="annotation text"/>
    <w:basedOn w:val="Normal"/>
    <w:link w:val="CommentTextChar"/>
    <w:uiPriority w:val="99"/>
    <w:semiHidden/>
    <w:unhideWhenUsed/>
    <w:rsid w:val="009326D9"/>
    <w:rPr>
      <w:sz w:val="20"/>
      <w:szCs w:val="20"/>
    </w:rPr>
  </w:style>
  <w:style w:type="character" w:customStyle="1" w:styleId="CommentTextChar">
    <w:name w:val="Comment Text Char"/>
    <w:basedOn w:val="DefaultParagraphFont"/>
    <w:link w:val="CommentText"/>
    <w:uiPriority w:val="99"/>
    <w:semiHidden/>
    <w:rsid w:val="009326D9"/>
    <w:rPr>
      <w:rFonts w:ascii="Times New Roman" w:eastAsia="Times New Roman" w:hAnsi="Times New Roman" w:cs="Times New Roman"/>
      <w:sz w:val="20"/>
      <w:szCs w:val="20"/>
      <w:lang w:val="en-US"/>
    </w:rPr>
  </w:style>
  <w:style w:type="character" w:styleId="CommentReference">
    <w:name w:val="annotation reference"/>
    <w:uiPriority w:val="99"/>
    <w:unhideWhenUsed/>
    <w:rsid w:val="009326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4287">
      <w:bodyDiv w:val="1"/>
      <w:marLeft w:val="0"/>
      <w:marRight w:val="0"/>
      <w:marTop w:val="0"/>
      <w:marBottom w:val="0"/>
      <w:divBdr>
        <w:top w:val="none" w:sz="0" w:space="0" w:color="auto"/>
        <w:left w:val="none" w:sz="0" w:space="0" w:color="auto"/>
        <w:bottom w:val="none" w:sz="0" w:space="0" w:color="auto"/>
        <w:right w:val="none" w:sz="0" w:space="0" w:color="auto"/>
      </w:divBdr>
    </w:div>
    <w:div w:id="336813323">
      <w:bodyDiv w:val="1"/>
      <w:marLeft w:val="0"/>
      <w:marRight w:val="0"/>
      <w:marTop w:val="0"/>
      <w:marBottom w:val="0"/>
      <w:divBdr>
        <w:top w:val="none" w:sz="0" w:space="0" w:color="auto"/>
        <w:left w:val="none" w:sz="0" w:space="0" w:color="auto"/>
        <w:bottom w:val="none" w:sz="0" w:space="0" w:color="auto"/>
        <w:right w:val="none" w:sz="0" w:space="0" w:color="auto"/>
      </w:divBdr>
    </w:div>
    <w:div w:id="386683117">
      <w:bodyDiv w:val="1"/>
      <w:marLeft w:val="0"/>
      <w:marRight w:val="0"/>
      <w:marTop w:val="0"/>
      <w:marBottom w:val="0"/>
      <w:divBdr>
        <w:top w:val="none" w:sz="0" w:space="0" w:color="auto"/>
        <w:left w:val="none" w:sz="0" w:space="0" w:color="auto"/>
        <w:bottom w:val="none" w:sz="0" w:space="0" w:color="auto"/>
        <w:right w:val="none" w:sz="0" w:space="0" w:color="auto"/>
      </w:divBdr>
    </w:div>
    <w:div w:id="620381286">
      <w:bodyDiv w:val="1"/>
      <w:marLeft w:val="0"/>
      <w:marRight w:val="0"/>
      <w:marTop w:val="0"/>
      <w:marBottom w:val="0"/>
      <w:divBdr>
        <w:top w:val="none" w:sz="0" w:space="0" w:color="auto"/>
        <w:left w:val="none" w:sz="0" w:space="0" w:color="auto"/>
        <w:bottom w:val="none" w:sz="0" w:space="0" w:color="auto"/>
        <w:right w:val="none" w:sz="0" w:space="0" w:color="auto"/>
      </w:divBdr>
    </w:div>
    <w:div w:id="1018117242">
      <w:bodyDiv w:val="1"/>
      <w:marLeft w:val="0"/>
      <w:marRight w:val="0"/>
      <w:marTop w:val="0"/>
      <w:marBottom w:val="0"/>
      <w:divBdr>
        <w:top w:val="none" w:sz="0" w:space="0" w:color="auto"/>
        <w:left w:val="none" w:sz="0" w:space="0" w:color="auto"/>
        <w:bottom w:val="none" w:sz="0" w:space="0" w:color="auto"/>
        <w:right w:val="none" w:sz="0" w:space="0" w:color="auto"/>
      </w:divBdr>
    </w:div>
    <w:div w:id="1762097171">
      <w:bodyDiv w:val="1"/>
      <w:marLeft w:val="0"/>
      <w:marRight w:val="0"/>
      <w:marTop w:val="0"/>
      <w:marBottom w:val="0"/>
      <w:divBdr>
        <w:top w:val="none" w:sz="0" w:space="0" w:color="auto"/>
        <w:left w:val="none" w:sz="0" w:space="0" w:color="auto"/>
        <w:bottom w:val="none" w:sz="0" w:space="0" w:color="auto"/>
        <w:right w:val="none" w:sz="0" w:space="0" w:color="auto"/>
      </w:divBdr>
    </w:div>
    <w:div w:id="18878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s.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2</Pages>
  <Words>2045</Words>
  <Characters>1167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19</cp:revision>
  <cp:lastPrinted>2018-11-21T07:33:00Z</cp:lastPrinted>
  <dcterms:created xsi:type="dcterms:W3CDTF">2016-11-07T09:04:00Z</dcterms:created>
  <dcterms:modified xsi:type="dcterms:W3CDTF">2018-11-21T07:35:00Z</dcterms:modified>
</cp:coreProperties>
</file>