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77777777"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w:t>
      </w:r>
      <w:r w:rsidRPr="00552538">
        <w:rPr>
          <w:rFonts w:eastAsia="Times New Roman" w:cs="Times New Roman"/>
          <w:sz w:val="22"/>
          <w:szCs w:val="22"/>
        </w:rPr>
        <w:lastRenderedPageBreak/>
        <w:t xml:space="preserve">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449F03DB"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917238">
        <w:rPr>
          <w:rFonts w:cs="Times New Roman"/>
          <w:b/>
          <w:kern w:val="0"/>
          <w:sz w:val="22"/>
          <w:szCs w:val="22"/>
        </w:rPr>
        <w:t>5728.80</w:t>
      </w:r>
      <w:r w:rsidR="000413F7">
        <w:rPr>
          <w:rFonts w:cs="Times New Roman"/>
          <w:b/>
          <w:kern w:val="0"/>
          <w:sz w:val="22"/>
          <w:szCs w:val="22"/>
        </w:rPr>
        <w:t xml:space="preserve"> </w:t>
      </w:r>
      <w:r w:rsidRPr="00DF006F">
        <w:rPr>
          <w:rFonts w:cs="Times New Roman"/>
          <w:kern w:val="0"/>
          <w:sz w:val="22"/>
          <w:szCs w:val="22"/>
          <w:lang w:val="x-none"/>
        </w:rPr>
        <w:t>(</w:t>
      </w:r>
      <w:r w:rsidR="00917238" w:rsidRPr="00917238">
        <w:rPr>
          <w:rFonts w:cs="Times New Roman"/>
          <w:i/>
          <w:kern w:val="0"/>
          <w:sz w:val="22"/>
          <w:szCs w:val="22"/>
          <w:lang w:val="x-none"/>
        </w:rPr>
        <w:t>pieci tūkstoši septiņi simti divdesmit astoņi eiro</w:t>
      </w:r>
      <w:r w:rsidR="00917238">
        <w:rPr>
          <w:rFonts w:cs="Times New Roman"/>
          <w:i/>
          <w:kern w:val="0"/>
          <w:sz w:val="22"/>
          <w:szCs w:val="22"/>
        </w:rPr>
        <w:t xml:space="preserve"> </w:t>
      </w:r>
      <w:r w:rsidR="00917238" w:rsidRPr="00917238">
        <w:rPr>
          <w:rFonts w:cs="Times New Roman"/>
          <w:i/>
          <w:kern w:val="0"/>
          <w:sz w:val="22"/>
          <w:szCs w:val="22"/>
          <w:lang w:val="x-none"/>
        </w:rPr>
        <w:t>un</w:t>
      </w:r>
      <w:r w:rsidR="00917238">
        <w:rPr>
          <w:rFonts w:cs="Times New Roman"/>
          <w:i/>
          <w:kern w:val="0"/>
          <w:sz w:val="22"/>
          <w:szCs w:val="22"/>
        </w:rPr>
        <w:t xml:space="preserve"> </w:t>
      </w:r>
      <w:r w:rsidR="00917238" w:rsidRPr="00917238">
        <w:rPr>
          <w:rFonts w:cs="Times New Roman"/>
          <w:i/>
          <w:kern w:val="0"/>
          <w:sz w:val="22"/>
          <w:szCs w:val="22"/>
          <w:lang w:val="x-none"/>
        </w:rPr>
        <w:t>astoņdesmit</w:t>
      </w:r>
      <w:r w:rsidR="00917238">
        <w:rPr>
          <w:rFonts w:cs="Times New Roman"/>
          <w:i/>
          <w:kern w:val="0"/>
          <w:sz w:val="22"/>
          <w:szCs w:val="22"/>
        </w:rPr>
        <w:t xml:space="preserve"> </w:t>
      </w:r>
      <w:r w:rsidR="00917238" w:rsidRPr="00917238">
        <w:rPr>
          <w:rFonts w:cs="Times New Roman"/>
          <w:i/>
          <w:kern w:val="0"/>
          <w:sz w:val="22"/>
          <w:szCs w:val="22"/>
          <w:lang w:val="x-none"/>
        </w:rPr>
        <w:t>centi</w:t>
      </w:r>
      <w:r w:rsidR="00D44058" w:rsidRPr="007B423D">
        <w:rPr>
          <w:rFonts w:cs="Times New Roman"/>
          <w:i/>
          <w:kern w:val="0"/>
          <w:sz w:val="22"/>
          <w:szCs w:val="22"/>
        </w:rPr>
        <w:t>)</w:t>
      </w:r>
      <w:r w:rsidRPr="007B423D">
        <w:rPr>
          <w:rFonts w:cs="Times New Roman"/>
          <w:i/>
          <w:kern w:val="0"/>
          <w:sz w:val="22"/>
          <w:szCs w:val="22"/>
          <w:lang w:val="x-none"/>
        </w:rPr>
        <w:t xml:space="preserve">. </w:t>
      </w:r>
      <w:r w:rsidRPr="00552538">
        <w:rPr>
          <w:rFonts w:cs="Times New Roman"/>
          <w:kern w:val="0"/>
          <w:sz w:val="22"/>
          <w:szCs w:val="22"/>
          <w:lang w:val="x-none"/>
        </w:rPr>
        <w:t>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668F44EC"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4A4E1F">
        <w:rPr>
          <w:rFonts w:eastAsia="Times New Roman" w:cs="Times New Roman"/>
          <w:b/>
          <w:sz w:val="22"/>
          <w:szCs w:val="22"/>
        </w:rPr>
        <w:t xml:space="preserve"> </w:t>
      </w:r>
      <w:r w:rsidR="00917238">
        <w:rPr>
          <w:rFonts w:eastAsia="Times New Roman" w:cs="Times New Roman"/>
          <w:b/>
          <w:sz w:val="22"/>
          <w:szCs w:val="22"/>
        </w:rPr>
        <w:t>27301</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lastRenderedPageBreak/>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t xml:space="preserve">Līgums sastādīts latviešu valodā, uz 5 (piecām) lappusēm, neieskaitot tā pielikumus. Pušu pārstāvji Līgumu un tā pielikumus paraksta ar drošu elektronisko parakstu, kurš </w:t>
      </w:r>
      <w:r w:rsidRPr="00D44058">
        <w:rPr>
          <w:rFonts w:cs="Times New Roman"/>
          <w:sz w:val="22"/>
          <w:szCs w:val="22"/>
        </w:rPr>
        <w:lastRenderedPageBreak/>
        <w:t>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77777777"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Nr. 3341000709</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DE75" w14:textId="77777777" w:rsidR="00EB612C" w:rsidRDefault="00EB612C" w:rsidP="00B37330">
      <w:r>
        <w:separator/>
      </w:r>
    </w:p>
  </w:endnote>
  <w:endnote w:type="continuationSeparator" w:id="0">
    <w:p w14:paraId="5FC47BBF" w14:textId="77777777" w:rsidR="00EB612C" w:rsidRDefault="00EB612C"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77777777" w:rsidR="00B37330" w:rsidRDefault="00B37330">
        <w:pPr>
          <w:pStyle w:val="Footer"/>
          <w:jc w:val="right"/>
        </w:pPr>
        <w:r>
          <w:fldChar w:fldCharType="begin"/>
        </w:r>
        <w:r>
          <w:instrText xml:space="preserve"> PAGE   \* MERGEFORMAT </w:instrText>
        </w:r>
        <w:r>
          <w:fldChar w:fldCharType="separate"/>
        </w:r>
        <w:r w:rsidR="00651703">
          <w:rPr>
            <w:noProof/>
          </w:rPr>
          <w:t>5</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234E" w14:textId="77777777" w:rsidR="00EB612C" w:rsidRDefault="00EB612C" w:rsidP="00B37330">
      <w:r>
        <w:separator/>
      </w:r>
    </w:p>
  </w:footnote>
  <w:footnote w:type="continuationSeparator" w:id="0">
    <w:p w14:paraId="0DC2355B" w14:textId="77777777" w:rsidR="00EB612C" w:rsidRDefault="00EB612C"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74D88"/>
    <w:rsid w:val="001B15DA"/>
    <w:rsid w:val="001C12E4"/>
    <w:rsid w:val="00254383"/>
    <w:rsid w:val="00297546"/>
    <w:rsid w:val="002A7F95"/>
    <w:rsid w:val="00305E82"/>
    <w:rsid w:val="00395612"/>
    <w:rsid w:val="003A2732"/>
    <w:rsid w:val="003C0636"/>
    <w:rsid w:val="003D78FA"/>
    <w:rsid w:val="004774EC"/>
    <w:rsid w:val="00492B09"/>
    <w:rsid w:val="004A4E1F"/>
    <w:rsid w:val="00651703"/>
    <w:rsid w:val="006530B5"/>
    <w:rsid w:val="006C7FB4"/>
    <w:rsid w:val="007B423D"/>
    <w:rsid w:val="007E3057"/>
    <w:rsid w:val="007E6235"/>
    <w:rsid w:val="008738AD"/>
    <w:rsid w:val="00917238"/>
    <w:rsid w:val="00AB22E0"/>
    <w:rsid w:val="00AC0036"/>
    <w:rsid w:val="00B37330"/>
    <w:rsid w:val="00B63E6B"/>
    <w:rsid w:val="00B84253"/>
    <w:rsid w:val="00BA1F4A"/>
    <w:rsid w:val="00BB0131"/>
    <w:rsid w:val="00BB13C0"/>
    <w:rsid w:val="00C15831"/>
    <w:rsid w:val="00C35F65"/>
    <w:rsid w:val="00D01668"/>
    <w:rsid w:val="00D10F0A"/>
    <w:rsid w:val="00D44058"/>
    <w:rsid w:val="00DF006F"/>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BBFA-2711-4791-8734-3C22736C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9363</Words>
  <Characters>5337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2021-08-09T18:41:00Z</dcterms:created>
  <dcterms:modified xsi:type="dcterms:W3CDTF">2021-08-10T10:04:00Z</dcterms:modified>
</cp:coreProperties>
</file>