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0972C4D7"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B236F7">
        <w:rPr>
          <w:rFonts w:cs="Times New Roman"/>
          <w:kern w:val="0"/>
          <w:sz w:val="22"/>
          <w:szCs w:val="22"/>
        </w:rPr>
        <w:t xml:space="preserve"> izglītības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09E3C9A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B236F7">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1DA35F0C"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7B423D">
        <w:rPr>
          <w:rFonts w:cs="Times New Roman"/>
          <w:b/>
          <w:kern w:val="0"/>
          <w:sz w:val="22"/>
          <w:szCs w:val="22"/>
        </w:rPr>
        <w:t>2994</w:t>
      </w:r>
      <w:r w:rsidR="000413F7">
        <w:rPr>
          <w:rFonts w:cs="Times New Roman"/>
          <w:b/>
          <w:kern w:val="0"/>
          <w:sz w:val="22"/>
          <w:szCs w:val="22"/>
        </w:rPr>
        <w:t>.</w:t>
      </w:r>
      <w:r w:rsidR="007B423D">
        <w:rPr>
          <w:rFonts w:cs="Times New Roman"/>
          <w:b/>
          <w:kern w:val="0"/>
          <w:sz w:val="22"/>
          <w:szCs w:val="22"/>
        </w:rPr>
        <w:t>60</w:t>
      </w:r>
      <w:r w:rsidR="000413F7">
        <w:rPr>
          <w:rFonts w:cs="Times New Roman"/>
          <w:b/>
          <w:kern w:val="0"/>
          <w:sz w:val="22"/>
          <w:szCs w:val="22"/>
        </w:rPr>
        <w:t xml:space="preserve"> </w:t>
      </w:r>
      <w:r w:rsidRPr="00DF006F">
        <w:rPr>
          <w:rFonts w:cs="Times New Roman"/>
          <w:kern w:val="0"/>
          <w:sz w:val="22"/>
          <w:szCs w:val="22"/>
          <w:lang w:val="x-none"/>
        </w:rPr>
        <w:t>(</w:t>
      </w:r>
      <w:r w:rsidR="007B423D" w:rsidRPr="007B423D">
        <w:rPr>
          <w:rFonts w:cs="Times New Roman"/>
          <w:i/>
          <w:kern w:val="0"/>
          <w:sz w:val="22"/>
          <w:szCs w:val="22"/>
          <w:lang w:val="x-none"/>
        </w:rPr>
        <w:t>divi tūkstoši deviņi simti deviņdesmit četri eiro</w:t>
      </w:r>
      <w:r w:rsidR="007B423D">
        <w:rPr>
          <w:rFonts w:cs="Times New Roman"/>
          <w:i/>
          <w:kern w:val="0"/>
          <w:sz w:val="22"/>
          <w:szCs w:val="22"/>
        </w:rPr>
        <w:t xml:space="preserve"> </w:t>
      </w:r>
      <w:r w:rsidR="007B423D" w:rsidRPr="007B423D">
        <w:rPr>
          <w:rFonts w:cs="Times New Roman"/>
          <w:i/>
          <w:kern w:val="0"/>
          <w:sz w:val="22"/>
          <w:szCs w:val="22"/>
          <w:lang w:val="x-none"/>
        </w:rPr>
        <w:t>un</w:t>
      </w:r>
      <w:r w:rsidR="007B423D">
        <w:rPr>
          <w:rFonts w:cs="Times New Roman"/>
          <w:i/>
          <w:kern w:val="0"/>
          <w:sz w:val="22"/>
          <w:szCs w:val="22"/>
        </w:rPr>
        <w:t xml:space="preserve"> </w:t>
      </w:r>
      <w:r w:rsidR="007B423D" w:rsidRPr="007B423D">
        <w:rPr>
          <w:rFonts w:cs="Times New Roman"/>
          <w:i/>
          <w:kern w:val="0"/>
          <w:sz w:val="22"/>
          <w:szCs w:val="22"/>
          <w:lang w:val="x-none"/>
        </w:rPr>
        <w:t>sešdesmit</w:t>
      </w:r>
      <w:r w:rsidR="007B423D">
        <w:rPr>
          <w:rFonts w:cs="Times New Roman"/>
          <w:i/>
          <w:kern w:val="0"/>
          <w:sz w:val="22"/>
          <w:szCs w:val="22"/>
        </w:rPr>
        <w:t xml:space="preserve"> </w:t>
      </w:r>
      <w:r w:rsidR="007B423D" w:rsidRPr="007B423D">
        <w:rPr>
          <w:rFonts w:cs="Times New Roman"/>
          <w:i/>
          <w:kern w:val="0"/>
          <w:sz w:val="22"/>
          <w:szCs w:val="22"/>
          <w:lang w:val="x-none"/>
        </w:rPr>
        <w:t>centi</w:t>
      </w:r>
      <w:r w:rsidR="00D44058" w:rsidRPr="007B423D">
        <w:rPr>
          <w:rFonts w:cs="Times New Roman"/>
          <w:i/>
          <w:kern w:val="0"/>
          <w:sz w:val="22"/>
          <w:szCs w:val="22"/>
        </w:rPr>
        <w:t>)</w:t>
      </w:r>
      <w:r w:rsidRPr="007B423D">
        <w:rPr>
          <w:rFonts w:cs="Times New Roman"/>
          <w:i/>
          <w:kern w:val="0"/>
          <w:sz w:val="22"/>
          <w:szCs w:val="22"/>
          <w:lang w:val="x-none"/>
        </w:rPr>
        <w:t xml:space="preserve">. </w:t>
      </w:r>
      <w:r w:rsidRPr="00552538">
        <w:rPr>
          <w:rFonts w:cs="Times New Roman"/>
          <w:kern w:val="0"/>
          <w:sz w:val="22"/>
          <w:szCs w:val="22"/>
          <w:lang w:val="x-none"/>
        </w:rPr>
        <w:t>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5067A13A"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4A4E1F">
        <w:rPr>
          <w:rFonts w:eastAsia="Times New Roman" w:cs="Times New Roman"/>
          <w:b/>
          <w:sz w:val="22"/>
          <w:szCs w:val="22"/>
        </w:rPr>
        <w:t xml:space="preserve"> 1</w:t>
      </w:r>
      <w:r w:rsidR="007B423D">
        <w:rPr>
          <w:rFonts w:eastAsia="Times New Roman" w:cs="Times New Roman"/>
          <w:b/>
          <w:sz w:val="22"/>
          <w:szCs w:val="22"/>
        </w:rPr>
        <w:t>2502</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20937D4C"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xml:space="preserve">. Nr. </w:t>
            </w:r>
            <w:r w:rsidR="00B236F7" w:rsidRPr="00B236F7">
              <w:rPr>
                <w:rFonts w:cs="Times New Roman"/>
                <w:sz w:val="22"/>
                <w:szCs w:val="22"/>
              </w:rPr>
              <w:t>90000068977</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D7A9" w14:textId="77777777" w:rsidR="00A8507E" w:rsidRDefault="00A8507E" w:rsidP="00B37330">
      <w:r>
        <w:separator/>
      </w:r>
    </w:p>
  </w:endnote>
  <w:endnote w:type="continuationSeparator" w:id="0">
    <w:p w14:paraId="2F0E4213" w14:textId="77777777" w:rsidR="00A8507E" w:rsidRDefault="00A8507E"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5637AD38" w:rsidR="00B37330" w:rsidRDefault="00B37330">
        <w:pPr>
          <w:pStyle w:val="Footer"/>
          <w:jc w:val="right"/>
        </w:pPr>
        <w:r>
          <w:fldChar w:fldCharType="begin"/>
        </w:r>
        <w:r>
          <w:instrText xml:space="preserve"> PAGE   \* MERGEFORMAT </w:instrText>
        </w:r>
        <w:r>
          <w:fldChar w:fldCharType="separate"/>
        </w:r>
        <w:r w:rsidR="00B236F7">
          <w:rPr>
            <w:noProof/>
          </w:rPr>
          <w:t>4</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AA75" w14:textId="77777777" w:rsidR="00A8507E" w:rsidRDefault="00A8507E" w:rsidP="00B37330">
      <w:r>
        <w:separator/>
      </w:r>
    </w:p>
  </w:footnote>
  <w:footnote w:type="continuationSeparator" w:id="0">
    <w:p w14:paraId="3661FBB8" w14:textId="77777777" w:rsidR="00A8507E" w:rsidRDefault="00A8507E"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74D88"/>
    <w:rsid w:val="001B15DA"/>
    <w:rsid w:val="00297546"/>
    <w:rsid w:val="002A7F95"/>
    <w:rsid w:val="00305E82"/>
    <w:rsid w:val="00395612"/>
    <w:rsid w:val="003A2732"/>
    <w:rsid w:val="003C0636"/>
    <w:rsid w:val="003D78FA"/>
    <w:rsid w:val="004774EC"/>
    <w:rsid w:val="00492B09"/>
    <w:rsid w:val="004A4E1F"/>
    <w:rsid w:val="005959CE"/>
    <w:rsid w:val="00651703"/>
    <w:rsid w:val="006530B5"/>
    <w:rsid w:val="006C7FB4"/>
    <w:rsid w:val="007B423D"/>
    <w:rsid w:val="007E3057"/>
    <w:rsid w:val="007E6235"/>
    <w:rsid w:val="008738AD"/>
    <w:rsid w:val="009354B9"/>
    <w:rsid w:val="00A8507E"/>
    <w:rsid w:val="00AB22E0"/>
    <w:rsid w:val="00AC0036"/>
    <w:rsid w:val="00B236F7"/>
    <w:rsid w:val="00B37330"/>
    <w:rsid w:val="00B63E6B"/>
    <w:rsid w:val="00B84253"/>
    <w:rsid w:val="00BA1F4A"/>
    <w:rsid w:val="00BB0131"/>
    <w:rsid w:val="00BB13C0"/>
    <w:rsid w:val="00C15831"/>
    <w:rsid w:val="00C35F65"/>
    <w:rsid w:val="00D01668"/>
    <w:rsid w:val="00D44058"/>
    <w:rsid w:val="00DF006F"/>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9C20-AA6D-400D-A462-940298A5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9375</Words>
  <Characters>5345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2021-08-09T18:44:00Z</dcterms:created>
  <dcterms:modified xsi:type="dcterms:W3CDTF">2021-08-10T09:57:00Z</dcterms:modified>
</cp:coreProperties>
</file>