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EDA" w:rsidRPr="00961EDA" w:rsidRDefault="00961EDA" w:rsidP="00961EDA">
      <w:pPr>
        <w:spacing w:after="0" w:line="240" w:lineRule="auto"/>
        <w:ind w:left="4500" w:hanging="4500"/>
        <w:jc w:val="right"/>
        <w:rPr>
          <w:rFonts w:ascii="Times New Roman" w:eastAsia="Cambria" w:hAnsi="Times New Roman" w:cs="Times New Roman"/>
          <w:kern w:val="56"/>
          <w:sz w:val="20"/>
          <w:szCs w:val="20"/>
        </w:rPr>
      </w:pPr>
      <w:r w:rsidRPr="00961EDA">
        <w:rPr>
          <w:rFonts w:ascii="Times New Roman" w:eastAsia="Cambria" w:hAnsi="Times New Roman" w:cs="Times New Roman"/>
          <w:kern w:val="56"/>
          <w:sz w:val="20"/>
          <w:szCs w:val="20"/>
        </w:rPr>
        <w:t>ID Nr.: RTU-2018/</w:t>
      </w:r>
      <w:r w:rsidR="00A324A7">
        <w:rPr>
          <w:rFonts w:ascii="Times New Roman" w:eastAsia="Cambria" w:hAnsi="Times New Roman" w:cs="Times New Roman"/>
          <w:kern w:val="56"/>
          <w:sz w:val="20"/>
          <w:szCs w:val="20"/>
        </w:rPr>
        <w:t>100</w:t>
      </w:r>
    </w:p>
    <w:p w:rsidR="00961EDA" w:rsidRPr="00961EDA" w:rsidRDefault="00961EDA" w:rsidP="00961EDA">
      <w:pPr>
        <w:spacing w:after="0" w:line="240" w:lineRule="auto"/>
        <w:ind w:left="4680"/>
        <w:jc w:val="right"/>
        <w:rPr>
          <w:rFonts w:ascii="Times New Roman" w:eastAsia="Cambria" w:hAnsi="Times New Roman" w:cs="Times New Roman"/>
          <w:kern w:val="56"/>
          <w:sz w:val="20"/>
          <w:szCs w:val="20"/>
        </w:rPr>
      </w:pPr>
      <w:r w:rsidRPr="00961EDA">
        <w:rPr>
          <w:rFonts w:ascii="Times New Roman" w:eastAsia="Cambria" w:hAnsi="Times New Roman" w:cs="Times New Roman"/>
          <w:kern w:val="56"/>
          <w:sz w:val="20"/>
          <w:szCs w:val="20"/>
        </w:rPr>
        <w:t xml:space="preserve"> nolikuma 1.pielikums </w:t>
      </w:r>
    </w:p>
    <w:p w:rsidR="00961EDA" w:rsidRPr="00961EDA" w:rsidRDefault="00961EDA" w:rsidP="00961EDA">
      <w:pPr>
        <w:spacing w:after="0" w:line="240" w:lineRule="auto"/>
        <w:jc w:val="center"/>
        <w:rPr>
          <w:rFonts w:ascii="Times New Roman" w:eastAsia="Cambria" w:hAnsi="Times New Roman" w:cs="Times New Roman"/>
          <w:b/>
          <w:bCs/>
          <w:iCs/>
          <w:kern w:val="56"/>
        </w:rPr>
      </w:pPr>
      <w:r w:rsidRPr="00961EDA">
        <w:rPr>
          <w:rFonts w:ascii="Times New Roman" w:eastAsia="Cambria" w:hAnsi="Times New Roman" w:cs="Times New Roman"/>
          <w:b/>
          <w:bCs/>
          <w:iCs/>
          <w:kern w:val="56"/>
        </w:rPr>
        <w:t xml:space="preserve">Kandidāta </w:t>
      </w:r>
      <w:smartTag w:uri="schemas-tilde-lv/tildestengine" w:element="veidnes">
        <w:smartTagPr>
          <w:attr w:name="id" w:val="-1"/>
          <w:attr w:name="baseform" w:val="Pieteikums"/>
          <w:attr w:name="text" w:val="Pieteikums"/>
        </w:smartTagPr>
        <w:r w:rsidRPr="00961EDA">
          <w:rPr>
            <w:rFonts w:ascii="Times New Roman" w:eastAsia="Cambria" w:hAnsi="Times New Roman" w:cs="Times New Roman"/>
            <w:b/>
            <w:bCs/>
            <w:iCs/>
            <w:kern w:val="56"/>
          </w:rPr>
          <w:t>pieteikums</w:t>
        </w:r>
      </w:smartTag>
      <w:r w:rsidRPr="00961EDA">
        <w:rPr>
          <w:rFonts w:ascii="Times New Roman" w:eastAsia="Cambria" w:hAnsi="Times New Roman" w:cs="Times New Roman"/>
          <w:b/>
          <w:bCs/>
          <w:iCs/>
          <w:kern w:val="56"/>
        </w:rPr>
        <w:t xml:space="preserve"> par iekļaušanu Dinamiskā iepirkuma sistēmā</w:t>
      </w:r>
    </w:p>
    <w:p w:rsidR="00961EDA" w:rsidRPr="00961EDA" w:rsidRDefault="00961EDA" w:rsidP="00961EDA">
      <w:pPr>
        <w:spacing w:after="0" w:line="240" w:lineRule="auto"/>
        <w:jc w:val="center"/>
        <w:rPr>
          <w:rFonts w:ascii="Times New Roman" w:eastAsia="Cambria" w:hAnsi="Times New Roman" w:cs="Times New Roman"/>
          <w:b/>
          <w:bCs/>
          <w:iCs/>
          <w:kern w:val="56"/>
        </w:rPr>
      </w:pPr>
      <w:r w:rsidRPr="00961EDA">
        <w:rPr>
          <w:rFonts w:ascii="Times New Roman" w:eastAsia="Cambria" w:hAnsi="Times New Roman" w:cs="Times New Roman"/>
          <w:b/>
          <w:bCs/>
          <w:iCs/>
          <w:kern w:val="56"/>
        </w:rPr>
        <w:t>PIETEIKUMA VĒSTULES FORMA</w:t>
      </w:r>
    </w:p>
    <w:p w:rsidR="00961EDA" w:rsidRPr="00961EDA" w:rsidRDefault="00961EDA" w:rsidP="00961EDA">
      <w:pPr>
        <w:spacing w:after="0" w:line="240" w:lineRule="auto"/>
        <w:ind w:right="29"/>
        <w:jc w:val="both"/>
        <w:rPr>
          <w:rFonts w:ascii="Times New Roman" w:eastAsia="Cambria" w:hAnsi="Times New Roman" w:cs="Times New Roman"/>
          <w:i/>
          <w:kern w:val="56"/>
        </w:rPr>
      </w:pPr>
      <w:r w:rsidRPr="00961EDA">
        <w:rPr>
          <w:rFonts w:ascii="Times New Roman" w:eastAsia="Cambria" w:hAnsi="Times New Roman" w:cs="Times New Roman"/>
          <w:b/>
          <w:kern w:val="56"/>
        </w:rPr>
        <w:t>Piezīme</w:t>
      </w:r>
      <w:r w:rsidRPr="00961EDA">
        <w:rPr>
          <w:rFonts w:ascii="Times New Roman" w:eastAsia="Cambria" w:hAnsi="Times New Roman" w:cs="Times New Roman"/>
          <w:kern w:val="56"/>
        </w:rPr>
        <w:t xml:space="preserve">: </w:t>
      </w:r>
      <w:r w:rsidRPr="00961EDA">
        <w:rPr>
          <w:rFonts w:ascii="Times New Roman" w:eastAsia="Cambria" w:hAnsi="Times New Roman" w:cs="Times New Roman"/>
          <w:i/>
          <w:kern w:val="56"/>
        </w:rPr>
        <w:t>iepirkuma kandidātam jāaizpilda tukšās vietas šajā formā (ja ir attiecināms).</w:t>
      </w:r>
    </w:p>
    <w:p w:rsidR="00961EDA" w:rsidRPr="00961EDA" w:rsidRDefault="00961EDA" w:rsidP="00961EDA">
      <w:pPr>
        <w:tabs>
          <w:tab w:val="center" w:pos="4153"/>
          <w:tab w:val="right" w:pos="8306"/>
        </w:tabs>
        <w:spacing w:after="0" w:line="240" w:lineRule="auto"/>
        <w:jc w:val="both"/>
        <w:rPr>
          <w:rFonts w:ascii="Times New Roman" w:eastAsia="Cambria" w:hAnsi="Times New Roman" w:cs="Times New Roman"/>
          <w:b/>
          <w:kern w:val="56"/>
        </w:rPr>
      </w:pPr>
    </w:p>
    <w:p w:rsidR="00961EDA" w:rsidRPr="00961EDA" w:rsidRDefault="00961EDA" w:rsidP="00961EDA">
      <w:pPr>
        <w:tabs>
          <w:tab w:val="center" w:pos="4153"/>
          <w:tab w:val="right" w:pos="8306"/>
        </w:tabs>
        <w:spacing w:after="0" w:line="240" w:lineRule="auto"/>
        <w:jc w:val="both"/>
        <w:rPr>
          <w:rFonts w:ascii="Times New Roman" w:eastAsia="Cambria" w:hAnsi="Times New Roman" w:cs="Times New Roman"/>
          <w:kern w:val="56"/>
        </w:rPr>
      </w:pPr>
      <w:r w:rsidRPr="00961EDA">
        <w:rPr>
          <w:rFonts w:ascii="Times New Roman" w:eastAsia="Cambria" w:hAnsi="Times New Roman" w:cs="Times New Roman"/>
          <w:b/>
          <w:kern w:val="56"/>
        </w:rPr>
        <w:t>Iepirkums:</w:t>
      </w:r>
      <w:r w:rsidRPr="00961EDA">
        <w:rPr>
          <w:rFonts w:ascii="Times New Roman" w:eastAsia="Cambria" w:hAnsi="Times New Roman" w:cs="Times New Roman"/>
          <w:kern w:val="56"/>
        </w:rPr>
        <w:t xml:space="preserve"> “</w:t>
      </w:r>
      <w:r w:rsidR="00A324A7">
        <w:rPr>
          <w:rFonts w:ascii="Times New Roman" w:eastAsia="Cambria" w:hAnsi="Times New Roman" w:cs="Times New Roman"/>
          <w:kern w:val="56"/>
        </w:rPr>
        <w:t>Datortehnikas</w:t>
      </w:r>
      <w:r w:rsidRPr="00961EDA">
        <w:rPr>
          <w:rFonts w:ascii="Times New Roman" w:eastAsia="Cambria" w:hAnsi="Times New Roman" w:cs="Times New Roman"/>
          <w:kern w:val="56"/>
        </w:rPr>
        <w:t xml:space="preserve"> piegāde Rīgas Tehniskās universitātes vajadzībām”</w:t>
      </w:r>
    </w:p>
    <w:p w:rsidR="00961EDA" w:rsidRPr="00961EDA" w:rsidRDefault="00961EDA" w:rsidP="00961EDA">
      <w:pPr>
        <w:tabs>
          <w:tab w:val="center" w:pos="4153"/>
          <w:tab w:val="right" w:pos="8306"/>
        </w:tabs>
        <w:spacing w:after="0" w:line="240" w:lineRule="auto"/>
        <w:jc w:val="both"/>
        <w:rPr>
          <w:rFonts w:ascii="Times New Roman" w:eastAsia="Cambria" w:hAnsi="Times New Roman" w:cs="Times New Roman"/>
          <w:kern w:val="56"/>
        </w:rPr>
      </w:pPr>
      <w:r w:rsidRPr="00961EDA">
        <w:rPr>
          <w:rFonts w:ascii="Times New Roman" w:eastAsia="Cambria" w:hAnsi="Times New Roman" w:cs="Times New Roman"/>
          <w:kern w:val="56"/>
        </w:rPr>
        <w:t>Iepirkuma ID Nr.: RTU-2018/</w:t>
      </w:r>
      <w:r w:rsidR="00A324A7">
        <w:rPr>
          <w:rFonts w:ascii="Times New Roman" w:eastAsia="Cambria" w:hAnsi="Times New Roman" w:cs="Times New Roman"/>
          <w:kern w:val="56"/>
        </w:rPr>
        <w:t>100</w:t>
      </w:r>
      <w:r w:rsidRPr="00961EDA">
        <w:rPr>
          <w:rFonts w:ascii="Times New Roman" w:eastAsia="Cambria" w:hAnsi="Times New Roman" w:cs="Times New Roman"/>
          <w:kern w:val="56"/>
        </w:rPr>
        <w:t>.</w:t>
      </w:r>
    </w:p>
    <w:p w:rsidR="00961EDA" w:rsidRPr="00961EDA" w:rsidRDefault="00961EDA" w:rsidP="00961EDA">
      <w:pPr>
        <w:tabs>
          <w:tab w:val="center" w:pos="4153"/>
          <w:tab w:val="right" w:pos="8306"/>
        </w:tabs>
        <w:spacing w:after="0" w:line="240" w:lineRule="auto"/>
        <w:jc w:val="both"/>
        <w:rPr>
          <w:rFonts w:ascii="Times New Roman" w:eastAsia="Cambria" w:hAnsi="Times New Roman" w:cs="Times New Roman"/>
          <w:i/>
          <w:kern w:val="56"/>
        </w:rPr>
      </w:pPr>
    </w:p>
    <w:p w:rsidR="00961EDA" w:rsidRPr="00961EDA" w:rsidRDefault="00961EDA" w:rsidP="00961EDA">
      <w:pPr>
        <w:spacing w:after="0" w:line="240" w:lineRule="auto"/>
        <w:ind w:right="29"/>
        <w:jc w:val="both"/>
        <w:rPr>
          <w:rFonts w:ascii="Times New Roman" w:eastAsia="Cambria" w:hAnsi="Times New Roman" w:cs="Times New Roman"/>
          <w:kern w:val="56"/>
        </w:rPr>
      </w:pPr>
      <w:r w:rsidRPr="00961EDA">
        <w:rPr>
          <w:rFonts w:ascii="Times New Roman" w:eastAsia="Cambria" w:hAnsi="Times New Roman" w:cs="Times New Roman"/>
          <w:kern w:val="56"/>
        </w:rPr>
        <w:t xml:space="preserve">Kandidāts </w:t>
      </w:r>
      <w:r w:rsidRPr="00961EDA">
        <w:rPr>
          <w:rFonts w:ascii="Times New Roman" w:eastAsia="Cambria" w:hAnsi="Times New Roman" w:cs="Times New Roman"/>
          <w:kern w:val="56"/>
          <w:shd w:val="clear" w:color="auto" w:fill="D9D9D9"/>
        </w:rPr>
        <w:t xml:space="preserve">_____________________________________ </w:t>
      </w:r>
      <w:r w:rsidRPr="00961EDA">
        <w:rPr>
          <w:rFonts w:ascii="Times New Roman" w:eastAsia="Cambria" w:hAnsi="Times New Roman" w:cs="Times New Roman"/>
          <w:kern w:val="56"/>
        </w:rPr>
        <w:t>personā ar šī pieteikuma iesniegšanu:</w:t>
      </w:r>
    </w:p>
    <w:p w:rsidR="00961EDA" w:rsidRDefault="00961EDA" w:rsidP="00961EDA">
      <w:pPr>
        <w:numPr>
          <w:ilvl w:val="0"/>
          <w:numId w:val="1"/>
        </w:numPr>
        <w:spacing w:after="0" w:line="240" w:lineRule="auto"/>
        <w:ind w:left="426" w:right="29" w:hanging="426"/>
        <w:jc w:val="both"/>
        <w:rPr>
          <w:rFonts w:ascii="Times New Roman" w:eastAsia="Cambria" w:hAnsi="Times New Roman" w:cs="Times New Roman"/>
          <w:kern w:val="56"/>
        </w:rPr>
      </w:pPr>
      <w:r w:rsidRPr="00961EDA">
        <w:rPr>
          <w:rFonts w:ascii="Times New Roman" w:eastAsia="Cambria" w:hAnsi="Times New Roman" w:cs="Times New Roman"/>
          <w:kern w:val="56"/>
        </w:rPr>
        <w:t xml:space="preserve">piesaka savu dalību iepirkumā iekļaušanai </w:t>
      </w:r>
      <w:r w:rsidRPr="00961EDA">
        <w:rPr>
          <w:rFonts w:ascii="Times New Roman" w:eastAsia="Cambria" w:hAnsi="Times New Roman" w:cs="Times New Roman"/>
          <w:kern w:val="56"/>
          <w:u w:val="single"/>
        </w:rPr>
        <w:t>Dinamiskā iepirkumu sistēmā</w:t>
      </w:r>
      <w:r w:rsidRPr="00961EDA">
        <w:rPr>
          <w:rFonts w:ascii="Times New Roman" w:eastAsia="Cambria" w:hAnsi="Times New Roman" w:cs="Times New Roman"/>
          <w:kern w:val="56"/>
        </w:rPr>
        <w:t xml:space="preserve"> </w:t>
      </w:r>
      <w:r w:rsidR="00A324A7">
        <w:rPr>
          <w:rFonts w:ascii="Times New Roman" w:eastAsia="Cambria" w:hAnsi="Times New Roman" w:cs="Times New Roman"/>
          <w:kern w:val="56"/>
        </w:rPr>
        <w:t>un piedāvā</w:t>
      </w:r>
      <w:r w:rsidRPr="00961EDA">
        <w:rPr>
          <w:rFonts w:ascii="Times New Roman" w:eastAsia="Cambria" w:hAnsi="Times New Roman" w:cs="Times New Roman"/>
          <w:kern w:val="56"/>
        </w:rPr>
        <w:t xml:space="preserve"> piegādāt </w:t>
      </w:r>
      <w:r w:rsidR="00A324A7">
        <w:rPr>
          <w:rFonts w:ascii="Times New Roman" w:eastAsia="Cambria" w:hAnsi="Times New Roman" w:cs="Times New Roman"/>
          <w:kern w:val="56"/>
        </w:rPr>
        <w:t>datortehniku</w:t>
      </w:r>
      <w:r w:rsidRPr="00961EDA">
        <w:rPr>
          <w:rFonts w:ascii="Times New Roman" w:eastAsia="Cambria" w:hAnsi="Times New Roman" w:cs="Times New Roman"/>
          <w:kern w:val="56"/>
        </w:rPr>
        <w:t>, kas atbilst pasūtītāja tehniskajām specifikācijām.</w:t>
      </w:r>
    </w:p>
    <w:p w:rsidR="00077B6F" w:rsidRPr="00051CC9" w:rsidRDefault="00077B6F" w:rsidP="00077B6F">
      <w:pPr>
        <w:pStyle w:val="ListParagraph"/>
        <w:numPr>
          <w:ilvl w:val="0"/>
          <w:numId w:val="1"/>
        </w:numPr>
        <w:spacing w:after="0" w:line="0" w:lineRule="atLeast"/>
        <w:rPr>
          <w:rFonts w:ascii="Times New Roman" w:eastAsia="Cambria" w:hAnsi="Times New Roman" w:cs="Times New Roman"/>
          <w:bCs/>
          <w:iCs/>
          <w:kern w:val="56"/>
        </w:rPr>
      </w:pPr>
      <w:r w:rsidRPr="00051CC9">
        <w:rPr>
          <w:rFonts w:ascii="Times New Roman" w:eastAsia="Cambria" w:hAnsi="Times New Roman" w:cs="Times New Roman"/>
          <w:bCs/>
          <w:iCs/>
          <w:kern w:val="56"/>
        </w:rPr>
        <w:t xml:space="preserve">DIS ietvaros </w:t>
      </w:r>
      <w:r w:rsidR="00051CC9">
        <w:rPr>
          <w:rFonts w:ascii="Times New Roman" w:eastAsia="Cambria" w:hAnsi="Times New Roman" w:cs="Times New Roman"/>
          <w:bCs/>
          <w:iCs/>
          <w:kern w:val="56"/>
        </w:rPr>
        <w:t>n</w:t>
      </w:r>
      <w:r w:rsidR="00051CC9" w:rsidRPr="00051CC9">
        <w:rPr>
          <w:rFonts w:ascii="Times New Roman" w:eastAsia="Cambria" w:hAnsi="Times New Roman" w:cs="Times New Roman"/>
          <w:bCs/>
          <w:iCs/>
          <w:kern w:val="56"/>
        </w:rPr>
        <w:t>odrošināsim</w:t>
      </w:r>
      <w:r w:rsidRPr="00051CC9">
        <w:rPr>
          <w:rFonts w:ascii="Times New Roman" w:eastAsia="Cambria" w:hAnsi="Times New Roman" w:cs="Times New Roman"/>
          <w:bCs/>
          <w:iCs/>
          <w:kern w:val="56"/>
        </w:rPr>
        <w:t xml:space="preserve"> šādas datortehnikas piegādi: </w:t>
      </w:r>
    </w:p>
    <w:tbl>
      <w:tblPr>
        <w:tblW w:w="14380" w:type="dxa"/>
        <w:tblLook w:val="04A0" w:firstRow="1" w:lastRow="0" w:firstColumn="1" w:lastColumn="0" w:noHBand="0" w:noVBand="1"/>
      </w:tblPr>
      <w:tblGrid>
        <w:gridCol w:w="943"/>
        <w:gridCol w:w="5431"/>
        <w:gridCol w:w="1632"/>
        <w:gridCol w:w="6374"/>
      </w:tblGrid>
      <w:tr w:rsidR="00077B6F" w:rsidRPr="00324522" w:rsidTr="00051CC9">
        <w:trPr>
          <w:trHeight w:val="391"/>
        </w:trPr>
        <w:tc>
          <w:tcPr>
            <w:tcW w:w="9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7B6F" w:rsidRPr="00324522" w:rsidRDefault="00077B6F" w:rsidP="00B2166D">
            <w:pPr>
              <w:spacing w:after="0" w:line="240" w:lineRule="auto"/>
              <w:jc w:val="right"/>
              <w:rPr>
                <w:rFonts w:ascii="Times New Roman" w:eastAsia="Times New Roman" w:hAnsi="Times New Roman" w:cs="Times New Roman"/>
                <w:b/>
                <w:bCs/>
                <w:color w:val="000000"/>
                <w:sz w:val="20"/>
                <w:szCs w:val="20"/>
                <w:lang w:eastAsia="lv-LV"/>
              </w:rPr>
            </w:pPr>
            <w:bookmarkStart w:id="0" w:name="page2"/>
            <w:bookmarkEnd w:id="0"/>
            <w:r w:rsidRPr="00324522">
              <w:rPr>
                <w:rFonts w:ascii="Times New Roman" w:eastAsia="Times New Roman" w:hAnsi="Times New Roman" w:cs="Times New Roman"/>
                <w:b/>
                <w:bCs/>
                <w:color w:val="000000"/>
                <w:sz w:val="20"/>
                <w:szCs w:val="20"/>
                <w:lang w:eastAsia="lv-LV"/>
              </w:rPr>
              <w:t>Nr.p.k.</w:t>
            </w:r>
          </w:p>
        </w:tc>
        <w:tc>
          <w:tcPr>
            <w:tcW w:w="13437" w:type="dxa"/>
            <w:gridSpan w:val="3"/>
            <w:tcBorders>
              <w:top w:val="single" w:sz="4" w:space="0" w:color="auto"/>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Pozīcijas nosaukums un tehniskā specifikācija</w:t>
            </w:r>
          </w:p>
        </w:tc>
      </w:tr>
      <w:tr w:rsidR="00077B6F" w:rsidRPr="00324522" w:rsidTr="00051CC9">
        <w:trPr>
          <w:trHeight w:val="480"/>
        </w:trPr>
        <w:tc>
          <w:tcPr>
            <w:tcW w:w="943" w:type="dxa"/>
            <w:tcBorders>
              <w:top w:val="nil"/>
              <w:left w:val="single" w:sz="4" w:space="0" w:color="auto"/>
              <w:bottom w:val="single" w:sz="4" w:space="0" w:color="auto"/>
              <w:right w:val="single" w:sz="4" w:space="0" w:color="auto"/>
            </w:tcBorders>
            <w:shd w:val="clear" w:color="000000" w:fill="F2F2F2"/>
            <w:noWrap/>
            <w:vAlign w:val="bottom"/>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w:t>
            </w:r>
          </w:p>
        </w:tc>
        <w:tc>
          <w:tcPr>
            <w:tcW w:w="13437" w:type="dxa"/>
            <w:gridSpan w:val="3"/>
            <w:tcBorders>
              <w:top w:val="single" w:sz="4" w:space="0" w:color="auto"/>
              <w:left w:val="nil"/>
              <w:bottom w:val="single" w:sz="4" w:space="0" w:color="auto"/>
              <w:right w:val="single" w:sz="4" w:space="0" w:color="auto"/>
            </w:tcBorders>
            <w:shd w:val="clear" w:color="000000" w:fill="F2F2F2"/>
            <w:noWrap/>
            <w:vAlign w:val="bottom"/>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Stacionārie datori</w:t>
            </w:r>
          </w:p>
        </w:tc>
      </w:tr>
      <w:tr w:rsidR="00077B6F" w:rsidRPr="00324522" w:rsidTr="00051CC9">
        <w:trPr>
          <w:trHeight w:val="375"/>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w:t>
            </w:r>
          </w:p>
        </w:tc>
        <w:tc>
          <w:tcPr>
            <w:tcW w:w="13437" w:type="dxa"/>
            <w:gridSpan w:val="3"/>
            <w:tcBorders>
              <w:top w:val="single" w:sz="4" w:space="0" w:color="auto"/>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Stacionārais dators 1. tips</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Korpuss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Izmērs micro ATX vai ATX, barošanas bloks vismaz 450w **</w:t>
            </w:r>
          </w:p>
        </w:tc>
      </w:tr>
      <w:tr w:rsidR="00077B6F" w:rsidRPr="00324522" w:rsidTr="00051CC9">
        <w:trPr>
          <w:trHeight w:val="6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Procesors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4 fiziski kodoli, vismaz 4 virtuāli kodoli, TDP ne lielāks par 65W,   Passmark Performance CPU mark testa punkti vismaz 8000 punkti. </w:t>
            </w:r>
          </w:p>
        </w:tc>
      </w:tr>
      <w:tr w:rsidR="00077B6F" w:rsidRPr="00324522" w:rsidTr="00051CC9">
        <w:trPr>
          <w:trHeight w:val="6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Pamatplate</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Mikroshēmu kopne H310 vai ekvivalents, Maksimālais operatīvās atmiņas apjoms vismaz 32GB, vismaz 1 x PCIe x16, vismaz 1 x PCIe x1, vismaz 2x SATA3, vismaz 2 x USB 3.0 , vismaz 1 x VGA, vismaz 1 x DVI.</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SSD</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240GB</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Operatīvā atmiņa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Apjoms vismaz 4GB, DDR4</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Operētājsistēma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Jebkura no Windows versijām * vai ekvivalenta </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Garantija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 gadi ***</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Vispārējās prasības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 ZPI kritērijiem un tehniskās specifikācijas Vispārīgās prasības 1.daļai - "Stacionārie datori"</w:t>
            </w:r>
          </w:p>
        </w:tc>
      </w:tr>
      <w:tr w:rsidR="00077B6F" w:rsidRPr="00324522" w:rsidTr="00051CC9">
        <w:trPr>
          <w:trHeight w:val="375"/>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1.2.</w:t>
            </w:r>
          </w:p>
        </w:tc>
        <w:tc>
          <w:tcPr>
            <w:tcW w:w="13437" w:type="dxa"/>
            <w:gridSpan w:val="3"/>
            <w:tcBorders>
              <w:top w:val="single" w:sz="4" w:space="0" w:color="auto"/>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Stacionārais dators 2. tips</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Korpuss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Izmērs ATX, barošanas bloks vismaz 700w **, DVD-RW</w:t>
            </w:r>
          </w:p>
        </w:tc>
      </w:tr>
      <w:tr w:rsidR="00077B6F" w:rsidRPr="00324522" w:rsidTr="00051CC9">
        <w:trPr>
          <w:trHeight w:val="6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Procesors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6 fiziski kodoli, vismaz 12 virtuāli kodoli, TDP ne lielāks par 65W,   Passmark Performance CPU mark testa punkti vismaz 15000 punkti. </w:t>
            </w:r>
          </w:p>
        </w:tc>
      </w:tr>
      <w:tr w:rsidR="00077B6F" w:rsidRPr="00324522" w:rsidTr="00051CC9">
        <w:trPr>
          <w:trHeight w:val="6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Pamatplate</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Mikroshēmu kopne H370 vai ekvivalents, Maksimālais operatīvās atmiņas apjoms vismaz 64GB, vismaz 2 x PCIe x16, vismaz 1 x PCIe x1, vismaz 6x SATA3, vismaz 2 x USB 3.0 , vismaz 1 x VGA, vismaz 1 x DVI.</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HDD</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2x 2TB</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SSD</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2x 500GB</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Operatīvā atmiņa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Apjoms vismaz 32GB, DDR4</w:t>
            </w:r>
          </w:p>
        </w:tc>
      </w:tr>
      <w:tr w:rsidR="00077B6F" w:rsidRPr="00324522" w:rsidTr="00051CC9">
        <w:trPr>
          <w:trHeight w:val="6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GPU</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2x Video adapteri ar vismaz 8GB, vismaz 10000 Passmark G3D Mark punktiem ar Nvidia Cuda un NVIDIA Mosaic tehnoloģijas atbalstu. </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Operētājsistēma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Jebkura no Windows versijām * vai ekvivalenta</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Garantija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 gadi ***</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Vispārējās prasības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 ZPI kritērijiem un tehniskās specifikācijas Vispārīgās prasības 1.daļai - "Stacionārie datori"</w:t>
            </w:r>
          </w:p>
        </w:tc>
      </w:tr>
      <w:tr w:rsidR="00077B6F" w:rsidRPr="00324522" w:rsidTr="00051CC9">
        <w:trPr>
          <w:trHeight w:val="300"/>
        </w:trPr>
        <w:tc>
          <w:tcPr>
            <w:tcW w:w="943" w:type="dxa"/>
            <w:tcBorders>
              <w:top w:val="nil"/>
              <w:left w:val="single" w:sz="4" w:space="0" w:color="auto"/>
              <w:bottom w:val="single" w:sz="4" w:space="0" w:color="auto"/>
              <w:right w:val="single" w:sz="4" w:space="0" w:color="auto"/>
            </w:tcBorders>
            <w:shd w:val="clear" w:color="000000" w:fill="F2F2F2"/>
            <w:noWrap/>
            <w:vAlign w:val="bottom"/>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2.</w:t>
            </w:r>
          </w:p>
        </w:tc>
        <w:tc>
          <w:tcPr>
            <w:tcW w:w="13437" w:type="dxa"/>
            <w:gridSpan w:val="3"/>
            <w:tcBorders>
              <w:top w:val="single" w:sz="4" w:space="0" w:color="auto"/>
              <w:left w:val="nil"/>
              <w:bottom w:val="single" w:sz="4" w:space="0" w:color="auto"/>
              <w:right w:val="single" w:sz="4" w:space="0" w:color="auto"/>
            </w:tcBorders>
            <w:shd w:val="clear" w:color="000000" w:fill="F2F2F2"/>
            <w:noWrap/>
            <w:vAlign w:val="bottom"/>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Portatīvie datori</w:t>
            </w:r>
          </w:p>
        </w:tc>
      </w:tr>
      <w:tr w:rsidR="00077B6F" w:rsidRPr="00324522" w:rsidTr="00051CC9">
        <w:trPr>
          <w:trHeight w:val="360"/>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2.1.</w:t>
            </w:r>
          </w:p>
        </w:tc>
        <w:tc>
          <w:tcPr>
            <w:tcW w:w="13437" w:type="dxa"/>
            <w:gridSpan w:val="3"/>
            <w:tcBorders>
              <w:top w:val="single" w:sz="4" w:space="0" w:color="auto"/>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Portatīvais dators 1.tips</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Displeja izmērs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 15.6''</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Ekrāna izšķirtspēja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mazāka kā 1920 x 1080</w:t>
            </w:r>
          </w:p>
        </w:tc>
      </w:tr>
      <w:tr w:rsidR="00077B6F" w:rsidRPr="00324522" w:rsidTr="00051CC9">
        <w:trPr>
          <w:trHeight w:val="6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Procesors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4 fiziski kodoli, vismaz 8 virtuāli kodoli, TDP ne lielāks par 15W,   Passmark Performance CPU mark testa punkti vismaz 7700 punkti. </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Pieslēguma vietas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2x USB, VGA, HDMI, RJ-45, audio izeja</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SSD</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240GB</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Operatīvā atmiņa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Apjoms vismaz 4GB, DDR4</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Svars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smagāks kā 2 kg</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Operētājsistēma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Jebkura no Windows versijām * vai ekvivalenta</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Komplektācijā iekļauts </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Lādētājs (no ražotāja)</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Garantija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 gadi ***</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Tastatūra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pilna QWERTY LAT/EUR </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Vispārējās prasības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 ZPI kritērijiem un tehniskās specifikācijas Vispārīgās prasības 2.daļai - "Portatīvieie datori"</w:t>
            </w:r>
          </w:p>
        </w:tc>
      </w:tr>
      <w:tr w:rsidR="00077B6F" w:rsidRPr="00324522" w:rsidTr="00051CC9">
        <w:trPr>
          <w:trHeight w:val="375"/>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lastRenderedPageBreak/>
              <w:t>2.2.</w:t>
            </w:r>
          </w:p>
        </w:tc>
        <w:tc>
          <w:tcPr>
            <w:tcW w:w="13437" w:type="dxa"/>
            <w:gridSpan w:val="3"/>
            <w:tcBorders>
              <w:top w:val="single" w:sz="4" w:space="0" w:color="auto"/>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Portatīvais dators 2.tips</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Ekrāna izmērs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 15.4''</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Ekrāna izšķirtspēja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mazāka kā 2880x1800</w:t>
            </w:r>
          </w:p>
        </w:tc>
      </w:tr>
      <w:tr w:rsidR="00077B6F" w:rsidRPr="00324522" w:rsidTr="00051CC9">
        <w:trPr>
          <w:trHeight w:val="6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Procesors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6 fiziski kodoli, vismaz 12 virtuāli kodoli, TDP ne lielāks par 45W, Passmark Performance CPU mark testa punkti vismaz 12000 punkti. </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Pieslēguma vietas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4x USB-C, audio izeja</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SSD</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512GB</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Operatīvā atmiņa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16GB, vismaz 2400MHz</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Svars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smagāks kā 1.83 kg</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Operētājsistēma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Jebkura no MAC OS versijām vai ekvivalenta</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Komplektācijā iekļauts </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Lādētājs (no ražotāja)</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Garantija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1 gads***</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Tastatūra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pilna QWERTY LAT/EUR tastatūra ar apgaismojumu</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Vispārējās prasības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 ZPI kritērijiem un tehniskās specifikācijas Vispārīgās prasības 2.daļai - "Portatīvieie datori"</w:t>
            </w:r>
          </w:p>
        </w:tc>
      </w:tr>
      <w:tr w:rsidR="00077B6F" w:rsidRPr="00324522" w:rsidTr="00051CC9">
        <w:trPr>
          <w:trHeight w:val="300"/>
        </w:trPr>
        <w:tc>
          <w:tcPr>
            <w:tcW w:w="943" w:type="dxa"/>
            <w:tcBorders>
              <w:top w:val="nil"/>
              <w:left w:val="single" w:sz="4" w:space="0" w:color="auto"/>
              <w:bottom w:val="single" w:sz="4" w:space="0" w:color="auto"/>
              <w:right w:val="single" w:sz="4" w:space="0" w:color="auto"/>
            </w:tcBorders>
            <w:shd w:val="clear" w:color="000000" w:fill="F2F2F2"/>
            <w:noWrap/>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3.</w:t>
            </w:r>
          </w:p>
        </w:tc>
        <w:tc>
          <w:tcPr>
            <w:tcW w:w="5431" w:type="dxa"/>
            <w:tcBorders>
              <w:top w:val="nil"/>
              <w:left w:val="nil"/>
              <w:bottom w:val="single" w:sz="4" w:space="0" w:color="auto"/>
              <w:right w:val="single" w:sz="4" w:space="0" w:color="auto"/>
            </w:tcBorders>
            <w:shd w:val="clear" w:color="000000" w:fill="F2F2F2"/>
            <w:noWrap/>
            <w:vAlign w:val="bottom"/>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Monitori</w:t>
            </w:r>
          </w:p>
        </w:tc>
        <w:tc>
          <w:tcPr>
            <w:tcW w:w="8006" w:type="dxa"/>
            <w:gridSpan w:val="2"/>
            <w:tcBorders>
              <w:top w:val="nil"/>
              <w:left w:val="nil"/>
              <w:bottom w:val="single" w:sz="4" w:space="0" w:color="auto"/>
              <w:right w:val="single" w:sz="4" w:space="0" w:color="auto"/>
            </w:tcBorders>
            <w:shd w:val="clear" w:color="000000" w:fill="F2F2F2"/>
            <w:noWrap/>
            <w:vAlign w:val="bottom"/>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 </w:t>
            </w:r>
          </w:p>
        </w:tc>
      </w:tr>
      <w:tr w:rsidR="00077B6F" w:rsidRPr="00324522" w:rsidTr="00051CC9">
        <w:trPr>
          <w:trHeight w:val="375"/>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3.1.</w:t>
            </w:r>
          </w:p>
        </w:tc>
        <w:tc>
          <w:tcPr>
            <w:tcW w:w="13437" w:type="dxa"/>
            <w:gridSpan w:val="3"/>
            <w:tcBorders>
              <w:top w:val="single" w:sz="4" w:space="0" w:color="auto"/>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Monitors 1.tips</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Displeja izmērs, collas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mazāks kā 23</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bottom"/>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Tips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IPS vai ekvivalents</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Savienojumi</w:t>
            </w:r>
          </w:p>
        </w:tc>
        <w:tc>
          <w:tcPr>
            <w:tcW w:w="8006" w:type="dxa"/>
            <w:gridSpan w:val="2"/>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1x DP, 1x VGA(D-Sub) vai DVI</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bottom"/>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Ekrāna proporcijas</w:t>
            </w:r>
          </w:p>
        </w:tc>
        <w:tc>
          <w:tcPr>
            <w:tcW w:w="8006" w:type="dxa"/>
            <w:gridSpan w:val="2"/>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16:9 vai 16:10</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bottom"/>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Izšķirtspēja, pikseļi</w:t>
            </w:r>
          </w:p>
        </w:tc>
        <w:tc>
          <w:tcPr>
            <w:tcW w:w="8006" w:type="dxa"/>
            <w:gridSpan w:val="2"/>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1920 x 1080</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Komplektācijā iekļauts</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DP un VGA vai DVI kabelis, strāvas kabelis</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noWrap/>
            <w:vAlign w:val="bottom"/>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Kontrasts</w:t>
            </w:r>
          </w:p>
        </w:tc>
        <w:tc>
          <w:tcPr>
            <w:tcW w:w="8006" w:type="dxa"/>
            <w:gridSpan w:val="2"/>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mazāks kā 1000:1</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noWrap/>
            <w:vAlign w:val="bottom"/>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Reakcijas laiks</w:t>
            </w:r>
          </w:p>
        </w:tc>
        <w:tc>
          <w:tcPr>
            <w:tcW w:w="8006" w:type="dxa"/>
            <w:gridSpan w:val="2"/>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vairāk kā 7 ms</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noWrap/>
            <w:vAlign w:val="bottom"/>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Spilgtums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mazāks kā 250 cd/m2</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Ekrāna funkcija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ar slīpuma regulāciju</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Garantija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 gadi</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Vispārējās prasības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 ZPI kritērijiem un tehniskās specifikācijas Vispārīgās prasības 3.daļai - "Monitori"</w:t>
            </w:r>
          </w:p>
        </w:tc>
      </w:tr>
      <w:tr w:rsidR="00077B6F" w:rsidRPr="00324522" w:rsidTr="00051CC9">
        <w:trPr>
          <w:trHeight w:val="300"/>
        </w:trPr>
        <w:tc>
          <w:tcPr>
            <w:tcW w:w="943" w:type="dxa"/>
            <w:tcBorders>
              <w:top w:val="nil"/>
              <w:left w:val="single" w:sz="4" w:space="0" w:color="auto"/>
              <w:bottom w:val="single" w:sz="4" w:space="0" w:color="auto"/>
              <w:right w:val="single" w:sz="4" w:space="0" w:color="auto"/>
            </w:tcBorders>
            <w:shd w:val="clear" w:color="000000" w:fill="F2F2F2"/>
            <w:noWrap/>
            <w:vAlign w:val="bottom"/>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4.</w:t>
            </w:r>
          </w:p>
        </w:tc>
        <w:tc>
          <w:tcPr>
            <w:tcW w:w="5431" w:type="dxa"/>
            <w:tcBorders>
              <w:top w:val="nil"/>
              <w:left w:val="nil"/>
              <w:bottom w:val="single" w:sz="4" w:space="0" w:color="auto"/>
              <w:right w:val="single" w:sz="4" w:space="0" w:color="auto"/>
            </w:tcBorders>
            <w:shd w:val="clear" w:color="000000" w:fill="F2F2F2"/>
            <w:noWrap/>
            <w:vAlign w:val="bottom"/>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Planšetdatori</w:t>
            </w:r>
          </w:p>
        </w:tc>
        <w:tc>
          <w:tcPr>
            <w:tcW w:w="8006" w:type="dxa"/>
            <w:gridSpan w:val="2"/>
            <w:tcBorders>
              <w:top w:val="nil"/>
              <w:left w:val="nil"/>
              <w:bottom w:val="single" w:sz="4" w:space="0" w:color="auto"/>
              <w:right w:val="single" w:sz="4" w:space="0" w:color="auto"/>
            </w:tcBorders>
            <w:shd w:val="clear" w:color="000000" w:fill="F2F2F2"/>
            <w:noWrap/>
            <w:vAlign w:val="bottom"/>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 </w:t>
            </w:r>
          </w:p>
        </w:tc>
      </w:tr>
      <w:tr w:rsidR="00077B6F" w:rsidRPr="00324522" w:rsidTr="00051CC9">
        <w:trPr>
          <w:trHeight w:val="375"/>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4.1.</w:t>
            </w:r>
          </w:p>
        </w:tc>
        <w:tc>
          <w:tcPr>
            <w:tcW w:w="13437" w:type="dxa"/>
            <w:gridSpan w:val="3"/>
            <w:tcBorders>
              <w:top w:val="single" w:sz="4" w:space="0" w:color="auto"/>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Planšetdators 1.tips</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Displeja izmērs, collas</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10.1''</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Ekrāna izšķirtspēja, pikseļi</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1920 x 1080</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Procesors</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Vismaz četru kodolu</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Atmiņa, GB</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32</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Operatīvā atmiņa, GB</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4</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Porti, ligzdas un sloti</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 Visamz 1x MicroUSB, 1xSIM ligzda, audio (austiņu) pieslēgšanas ligzda</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Kameras</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priekšējā 2MP kamera, aizmugurē 5MP kamera</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GPS uztvērējs</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Ir</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WiFi </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Ir</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Bluetooth</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Ir</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Skaļruņi</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Ir</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4G atbalsts</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Jā</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Operētājsistēma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Windows 10 versija vai ekvivalents</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Komplektācijā iekļauts </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Lādētājs (no planšetes ražotāja)</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Garantija</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 gadi</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Vispārējās prasības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 ZPI kritērijiem un tehniskās specifikācijas Vispārīgās prasības 4.daļai - "Planšetdatori"</w:t>
            </w:r>
          </w:p>
        </w:tc>
      </w:tr>
      <w:tr w:rsidR="00077B6F" w:rsidRPr="00324522" w:rsidTr="00051CC9">
        <w:trPr>
          <w:trHeight w:val="300"/>
        </w:trPr>
        <w:tc>
          <w:tcPr>
            <w:tcW w:w="14380" w:type="dxa"/>
            <w:gridSpan w:val="4"/>
            <w:tcBorders>
              <w:top w:val="nil"/>
              <w:left w:val="nil"/>
              <w:bottom w:val="nil"/>
              <w:right w:val="nil"/>
            </w:tcBorders>
            <w:shd w:val="clear" w:color="auto" w:fill="auto"/>
            <w:noWrap/>
            <w:vAlign w:val="bottom"/>
            <w:hideMark/>
          </w:tcPr>
          <w:p w:rsidR="00077B6F"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****Pretendentam piedāvājumā jāietver norāde uz ražotāja tīmekļvietni vai jāpievieno ražotāja dokumenti no kuriem Pasūtītājs var gūt nepārprotamu pārliecību par preces (parametru) atbilstību </w:t>
            </w:r>
          </w:p>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r>
      <w:tr w:rsidR="00077B6F" w:rsidRPr="00324522" w:rsidTr="00051CC9">
        <w:trPr>
          <w:trHeight w:val="3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B6F" w:rsidRPr="00324522" w:rsidRDefault="00077B6F" w:rsidP="00B2166D">
            <w:pPr>
              <w:spacing w:after="0" w:line="240" w:lineRule="auto"/>
              <w:jc w:val="center"/>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Nr.p.k.</w:t>
            </w:r>
          </w:p>
        </w:tc>
        <w:tc>
          <w:tcPr>
            <w:tcW w:w="1343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77B6F" w:rsidRPr="00324522" w:rsidRDefault="00077B6F" w:rsidP="00B2166D">
            <w:pPr>
              <w:spacing w:after="0" w:line="240" w:lineRule="auto"/>
              <w:jc w:val="center"/>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Vispārīgās prasības ZPI kritērijiem</w:t>
            </w:r>
          </w:p>
        </w:tc>
      </w:tr>
      <w:tr w:rsidR="00077B6F" w:rsidRPr="00324522" w:rsidTr="00051CC9">
        <w:trPr>
          <w:trHeight w:val="300"/>
        </w:trPr>
        <w:tc>
          <w:tcPr>
            <w:tcW w:w="943" w:type="dxa"/>
            <w:vMerge w:val="restart"/>
            <w:tcBorders>
              <w:top w:val="nil"/>
              <w:left w:val="single" w:sz="4" w:space="0" w:color="auto"/>
              <w:bottom w:val="single" w:sz="4" w:space="0" w:color="auto"/>
              <w:right w:val="single" w:sz="4" w:space="0" w:color="auto"/>
            </w:tcBorders>
            <w:shd w:val="clear" w:color="auto" w:fill="auto"/>
            <w:noWrap/>
            <w:hideMark/>
          </w:tcPr>
          <w:p w:rsidR="00077B6F" w:rsidRPr="00324522" w:rsidRDefault="00077B6F" w:rsidP="00B2166D">
            <w:pPr>
              <w:spacing w:after="0" w:line="240" w:lineRule="auto"/>
              <w:jc w:val="right"/>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1.</w:t>
            </w:r>
          </w:p>
        </w:tc>
        <w:tc>
          <w:tcPr>
            <w:tcW w:w="13437"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Vispārīgās prasības 1.daļai - "Stacionārie datori"</w:t>
            </w:r>
          </w:p>
        </w:tc>
      </w:tr>
      <w:tr w:rsidR="00077B6F" w:rsidRPr="00324522" w:rsidTr="00051CC9">
        <w:trPr>
          <w:trHeight w:val="63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noWrap/>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Korpuss</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Korpusa sānu malu biezumam (plānākajā vietā) ir jābūt vismaz 0,6mm. Mērījumu veikšanai var izmantot mērinstrumentu ar vismaz +/-0,05mm precizitāti.</w:t>
            </w:r>
          </w:p>
        </w:tc>
      </w:tr>
      <w:tr w:rsidR="00077B6F" w:rsidRPr="00324522" w:rsidTr="00051CC9">
        <w:trPr>
          <w:trHeight w:val="72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noWrap/>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Drošības un citas prasības </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Jāvar atļaut/aizliegt Seriālā, Paralēlā, USB un IEEE-1394a (ja šādi porti ir piegādātā galda datora komplektācijā) portu lietošanu. Jābūt iespējai uzstādīt 2 BIOS paroles – lietotājam un administratoram. </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noWrap/>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Barošanas spriegums</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220V, 50 Hz.</w:t>
            </w:r>
          </w:p>
        </w:tc>
      </w:tr>
      <w:tr w:rsidR="00077B6F" w:rsidRPr="00324522" w:rsidTr="00051CC9">
        <w:trPr>
          <w:trHeight w:val="975"/>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noWrap/>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Savietojamība</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Piedāvātā datora modelis ir iekļauts Windows Certified Products List (https://sysdev.microsoft.com/en-US/Hardware/lpl/) attiecībā uz piedāvāto MS Windows versiju (vai ekvivalents) – pievienot apstiprinošu izdruku vai precīzu saiti. Procesors atbalsta x86 vai x64 komandu sistēmu, izņemot, ja tiek piedāvāta ekvivalenta operētājsistēma.</w:t>
            </w:r>
          </w:p>
        </w:tc>
      </w:tr>
      <w:tr w:rsidR="00077B6F" w:rsidRPr="00324522" w:rsidTr="00051CC9">
        <w:trPr>
          <w:trHeight w:val="66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val="restart"/>
            <w:tcBorders>
              <w:top w:val="nil"/>
              <w:left w:val="single" w:sz="4" w:space="0" w:color="auto"/>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Prasības sistēmbloka konfigurācijai un papildaprīkojumam</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Sistēmblokam jābūt pilnībā saliktam, nokonfigurētam, kā arī ar attiecīgu programmatūru. Piedāvātā datortehnika nedrīkst būt iepriekš lietota, tajā nedrīkst būt iebūvētas lietotas vai atjaunotas komponentes.</w:t>
            </w:r>
          </w:p>
        </w:tc>
      </w:tr>
      <w:tr w:rsidR="00077B6F" w:rsidRPr="00324522" w:rsidTr="00051CC9">
        <w:trPr>
          <w:trHeight w:val="1695"/>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Visām komponentēm (izņemot programmatūru, video pārejas, Blue-ray iekārtas, SMART karšu lasītājus, peļu palikņus, </w:t>
            </w:r>
            <w:r w:rsidRPr="00786B83">
              <w:rPr>
                <w:rFonts w:ascii="Times New Roman" w:eastAsia="Times New Roman" w:hAnsi="Times New Roman" w:cs="Times New Roman"/>
                <w:color w:val="000000"/>
                <w:sz w:val="20"/>
                <w:szCs w:val="20"/>
                <w:lang w:eastAsia="lv-LV"/>
              </w:rPr>
              <w:t>VESA standarta stiprinājumus un drošības atslēgas ar trosi (Kensington Lock)) ir jābūt no viena un tā paša ražotāja (vai viena un tā paša ražotāja izpildījumā), kas piedāvātajam datoram, kā arī datoram pilnībā jābūt nokomplektētam piedāvātā datora ražotāja rūpnīcā. Programmatūras, video pāreju</w:t>
            </w:r>
            <w:r w:rsidRPr="00324522">
              <w:rPr>
                <w:rFonts w:ascii="Times New Roman" w:eastAsia="Times New Roman" w:hAnsi="Times New Roman" w:cs="Times New Roman"/>
                <w:color w:val="000000"/>
                <w:sz w:val="20"/>
                <w:szCs w:val="20"/>
                <w:lang w:eastAsia="lv-LV"/>
              </w:rPr>
              <w:t>, drošības atslēgu ar trosi, peļu palikņu, Blue-ray iekārtu, VESA standarta stiprinājumu un SMART karšu lasītāju saderība ar piedāvāto datoru ir jāpārbauda piegādātājam.</w:t>
            </w:r>
          </w:p>
        </w:tc>
      </w:tr>
      <w:tr w:rsidR="00077B6F" w:rsidRPr="00324522" w:rsidTr="00786B83">
        <w:trPr>
          <w:trHeight w:val="6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noWrap/>
            <w:hideMark/>
          </w:tcPr>
          <w:p w:rsidR="00077B6F" w:rsidRPr="00786B83" w:rsidRDefault="00077B6F" w:rsidP="00B2166D">
            <w:pPr>
              <w:spacing w:after="0" w:line="240" w:lineRule="auto"/>
              <w:rPr>
                <w:rFonts w:ascii="Times New Roman" w:eastAsia="Times New Roman" w:hAnsi="Times New Roman" w:cs="Times New Roman"/>
                <w:color w:val="000000"/>
                <w:sz w:val="20"/>
                <w:szCs w:val="20"/>
                <w:lang w:eastAsia="lv-LV"/>
              </w:rPr>
            </w:pPr>
            <w:r w:rsidRPr="00786B83">
              <w:rPr>
                <w:rFonts w:ascii="Times New Roman" w:eastAsia="Times New Roman" w:hAnsi="Times New Roman" w:cs="Times New Roman"/>
                <w:color w:val="000000"/>
                <w:sz w:val="20"/>
                <w:szCs w:val="20"/>
                <w:lang w:eastAsia="lv-LV"/>
              </w:rPr>
              <w:t>Enerģijas patēriņa pārvaldība</w:t>
            </w:r>
          </w:p>
        </w:tc>
        <w:tc>
          <w:tcPr>
            <w:tcW w:w="8006" w:type="dxa"/>
            <w:gridSpan w:val="2"/>
            <w:tcBorders>
              <w:top w:val="nil"/>
              <w:left w:val="nil"/>
              <w:bottom w:val="single" w:sz="4" w:space="0" w:color="auto"/>
              <w:right w:val="single" w:sz="4" w:space="0" w:color="auto"/>
            </w:tcBorders>
            <w:shd w:val="clear" w:color="auto" w:fill="auto"/>
            <w:hideMark/>
          </w:tcPr>
          <w:p w:rsidR="00077B6F" w:rsidRPr="00786B83" w:rsidRDefault="00077B6F" w:rsidP="00B2166D">
            <w:pPr>
              <w:spacing w:after="0" w:line="240" w:lineRule="auto"/>
              <w:rPr>
                <w:rFonts w:ascii="Times New Roman" w:eastAsia="Times New Roman" w:hAnsi="Times New Roman" w:cs="Times New Roman"/>
                <w:color w:val="000000"/>
                <w:sz w:val="20"/>
                <w:szCs w:val="20"/>
                <w:lang w:eastAsia="lv-LV"/>
              </w:rPr>
            </w:pPr>
            <w:r w:rsidRPr="00786B83">
              <w:rPr>
                <w:rFonts w:ascii="Times New Roman" w:eastAsia="Times New Roman" w:hAnsi="Times New Roman" w:cs="Times New Roman"/>
                <w:color w:val="000000"/>
                <w:sz w:val="20"/>
                <w:szCs w:val="20"/>
                <w:lang w:eastAsia="lv-LV"/>
              </w:rPr>
              <w:t>Jānodrošina lietošanas norādījumi par IT atbalstu datortehnikas videi draudzīgai pārvaldībai. Vismaz dažādu energopatēriņa pārvaldības funkciju iestatījumu apraksts</w:t>
            </w:r>
          </w:p>
        </w:tc>
      </w:tr>
      <w:tr w:rsidR="00077B6F" w:rsidRPr="00324522" w:rsidTr="00051CC9">
        <w:trPr>
          <w:trHeight w:val="21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noWrap/>
            <w:hideMark/>
          </w:tcPr>
          <w:p w:rsidR="00077B6F" w:rsidRPr="00786B83" w:rsidRDefault="00077B6F" w:rsidP="00B2166D">
            <w:pPr>
              <w:spacing w:after="0" w:line="240" w:lineRule="auto"/>
              <w:rPr>
                <w:rFonts w:ascii="Times New Roman" w:eastAsia="Times New Roman" w:hAnsi="Times New Roman" w:cs="Times New Roman"/>
                <w:color w:val="000000"/>
                <w:sz w:val="20"/>
                <w:szCs w:val="20"/>
                <w:lang w:eastAsia="lv-LV"/>
              </w:rPr>
            </w:pPr>
            <w:r w:rsidRPr="00786B83">
              <w:rPr>
                <w:rFonts w:ascii="Times New Roman" w:eastAsia="Times New Roman" w:hAnsi="Times New Roman" w:cs="Times New Roman"/>
                <w:color w:val="000000"/>
                <w:sz w:val="20"/>
                <w:szCs w:val="20"/>
                <w:lang w:eastAsia="lv-LV"/>
              </w:rPr>
              <w:t>Standarta komplektācijā iekļauts</w:t>
            </w:r>
          </w:p>
        </w:tc>
        <w:tc>
          <w:tcPr>
            <w:tcW w:w="8006" w:type="dxa"/>
            <w:gridSpan w:val="2"/>
            <w:tcBorders>
              <w:top w:val="nil"/>
              <w:left w:val="nil"/>
              <w:bottom w:val="single" w:sz="4" w:space="0" w:color="auto"/>
              <w:right w:val="single" w:sz="4" w:space="0" w:color="auto"/>
            </w:tcBorders>
            <w:shd w:val="clear" w:color="auto" w:fill="auto"/>
            <w:hideMark/>
          </w:tcPr>
          <w:p w:rsidR="00077B6F" w:rsidRPr="00786B83" w:rsidRDefault="00077B6F" w:rsidP="00B2166D">
            <w:pPr>
              <w:spacing w:after="0" w:line="240" w:lineRule="auto"/>
              <w:rPr>
                <w:rFonts w:ascii="Times New Roman" w:eastAsia="Times New Roman" w:hAnsi="Times New Roman" w:cs="Times New Roman"/>
                <w:color w:val="000000"/>
                <w:sz w:val="20"/>
                <w:szCs w:val="20"/>
                <w:lang w:eastAsia="lv-LV"/>
              </w:rPr>
            </w:pPr>
            <w:r w:rsidRPr="00786B83">
              <w:rPr>
                <w:rFonts w:ascii="Times New Roman" w:eastAsia="Times New Roman" w:hAnsi="Times New Roman" w:cs="Times New Roman"/>
                <w:color w:val="000000"/>
                <w:sz w:val="20"/>
                <w:szCs w:val="20"/>
                <w:lang w:eastAsia="lv-LV"/>
              </w:rPr>
              <w:t xml:space="preserve">Eiropas standartam atbilstoši barošanas vadi un kabeļi (t.sk. CEE7 vai ekvivalents ). </w:t>
            </w:r>
            <w:r w:rsidRPr="00786B83">
              <w:rPr>
                <w:rFonts w:ascii="Times New Roman" w:eastAsia="Times New Roman" w:hAnsi="Times New Roman" w:cs="Times New Roman"/>
                <w:color w:val="000000"/>
                <w:sz w:val="20"/>
                <w:szCs w:val="20"/>
                <w:lang w:eastAsia="lv-LV"/>
              </w:rPr>
              <w:br/>
              <w:t>Lietotāja instrukcija valsts valodā, kurā ietilpst:</w:t>
            </w:r>
            <w:r w:rsidRPr="00786B83">
              <w:rPr>
                <w:rFonts w:ascii="Times New Roman" w:eastAsia="Times New Roman" w:hAnsi="Times New Roman" w:cs="Times New Roman"/>
                <w:color w:val="000000"/>
                <w:sz w:val="20"/>
                <w:szCs w:val="20"/>
                <w:lang w:eastAsia="lv-LV"/>
              </w:rPr>
              <w:br/>
              <w:t>- iekārtas vispārīgs apraksts;</w:t>
            </w:r>
            <w:r w:rsidRPr="00786B83">
              <w:rPr>
                <w:rFonts w:ascii="Times New Roman" w:eastAsia="Times New Roman" w:hAnsi="Times New Roman" w:cs="Times New Roman"/>
                <w:color w:val="000000"/>
                <w:sz w:val="20"/>
                <w:szCs w:val="20"/>
                <w:lang w:eastAsia="lv-LV"/>
              </w:rPr>
              <w:br/>
              <w:t>- komponenšu nomaiņas apraksts;</w:t>
            </w:r>
            <w:r w:rsidRPr="00786B83">
              <w:rPr>
                <w:rFonts w:ascii="Times New Roman" w:eastAsia="Times New Roman" w:hAnsi="Times New Roman" w:cs="Times New Roman"/>
                <w:color w:val="000000"/>
                <w:sz w:val="20"/>
                <w:szCs w:val="20"/>
                <w:lang w:eastAsia="lv-LV"/>
              </w:rPr>
              <w:br/>
              <w:t>- tehniskās specifikācijas apraksts;</w:t>
            </w:r>
            <w:r w:rsidRPr="00786B83">
              <w:rPr>
                <w:rFonts w:ascii="Times New Roman" w:eastAsia="Times New Roman" w:hAnsi="Times New Roman" w:cs="Times New Roman"/>
                <w:color w:val="000000"/>
                <w:sz w:val="20"/>
                <w:szCs w:val="20"/>
                <w:lang w:eastAsia="lv-LV"/>
              </w:rPr>
              <w:br/>
              <w:t>- tehnisko pamatproblēmu novēršanas apraksts;</w:t>
            </w:r>
            <w:r w:rsidRPr="00786B83">
              <w:rPr>
                <w:rFonts w:ascii="Times New Roman" w:eastAsia="Times New Roman" w:hAnsi="Times New Roman" w:cs="Times New Roman"/>
                <w:color w:val="000000"/>
                <w:sz w:val="20"/>
                <w:szCs w:val="20"/>
                <w:lang w:eastAsia="lv-LV"/>
              </w:rPr>
              <w:br/>
              <w:t>- BIOS darbību apraksts.</w:t>
            </w:r>
          </w:p>
        </w:tc>
      </w:tr>
      <w:tr w:rsidR="00077B6F" w:rsidRPr="00324522" w:rsidTr="00051CC9">
        <w:trPr>
          <w:trHeight w:val="15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val="restart"/>
            <w:tcBorders>
              <w:top w:val="nil"/>
              <w:left w:val="single" w:sz="4" w:space="0" w:color="auto"/>
              <w:bottom w:val="single" w:sz="4" w:space="0" w:color="auto"/>
              <w:right w:val="single" w:sz="4" w:space="0" w:color="auto"/>
            </w:tcBorders>
            <w:shd w:val="clear" w:color="auto" w:fill="auto"/>
            <w:noWrap/>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Atbilstība standartiem un normatīviem aktiem</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Piedāvātajai datortehnikai ir jābūt ENERGY STAR® (atbilstoši jaunākajai spēkā esošai versijai)  sertificētai, un par šo faktu ir jāvar pārliecināties https://www.energystar.gov/index.cfm?fuseaction=products_for_partners.showComputers mājas lapā publicētajos sertificētās datortehnikas sarakstos vai arī pretendentam ir jāiesniedz neatkarīgas testēšanas laboratorijas testēšanas rezultāti (atbilstoši jaunākajai spēkā esošai ENERGY STAR® testēšanas metodikai vai ekvivalentai), kas to apliecina.</w:t>
            </w:r>
          </w:p>
        </w:tc>
      </w:tr>
      <w:tr w:rsidR="00077B6F" w:rsidRPr="00324522" w:rsidTr="00051CC9">
        <w:trPr>
          <w:trHeight w:val="12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(Communaite Europeene) vai ekvivalents. Preci ražotājs ir paredzējis lietošanai Latvijas teritorijā.</w:t>
            </w:r>
          </w:p>
        </w:tc>
      </w:tr>
      <w:tr w:rsidR="00077B6F" w:rsidRPr="00324522" w:rsidTr="00051CC9">
        <w:trPr>
          <w:trHeight w:val="9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tc>
      </w:tr>
      <w:tr w:rsidR="00077B6F" w:rsidRPr="00324522" w:rsidTr="00051CC9">
        <w:trPr>
          <w:trHeight w:val="66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Koprusa un apvalku materiāliem, kuru svars ir lielāks par 100 gramiem un to laukums ir lielāks par 50 cm</w:t>
            </w:r>
            <w:r w:rsidRPr="00324522">
              <w:rPr>
                <w:rFonts w:ascii="Times New Roman" w:eastAsia="Times New Roman" w:hAnsi="Times New Roman" w:cs="Times New Roman"/>
                <w:color w:val="000000"/>
                <w:sz w:val="20"/>
                <w:szCs w:val="20"/>
                <w:vertAlign w:val="superscript"/>
                <w:lang w:eastAsia="lv-LV"/>
              </w:rPr>
              <w:t xml:space="preserve">2 </w:t>
            </w:r>
            <w:r w:rsidRPr="00324522">
              <w:rPr>
                <w:rFonts w:ascii="Times New Roman" w:eastAsia="Times New Roman" w:hAnsi="Times New Roman" w:cs="Times New Roman"/>
                <w:color w:val="000000"/>
                <w:sz w:val="20"/>
                <w:szCs w:val="20"/>
                <w:lang w:eastAsia="lv-LV"/>
              </w:rPr>
              <w:t>ir jābūt marķētiem saskaņā ar ISO 11469 un ISO 1043-1 prasībām vai ekvivalents.</w:t>
            </w:r>
          </w:p>
        </w:tc>
      </w:tr>
      <w:tr w:rsidR="00077B6F" w:rsidRPr="00324522" w:rsidTr="00051CC9">
        <w:trPr>
          <w:trHeight w:val="12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Pretendentam ir jānodrošina atkārtota tehnikas izmantošana un pārstādes serviss noteiktam elektrisko un elektroniso ierīču aprīkojumam, kas ir nolietojies. Kārtība, kā  nodrošināt ierīču atkārtotu izmantošana vai pārstrādi, tiek noteikta atbilstoši Eiropas Parlamenta un Padomes Direktīvai 2012/19/ES "Par elektrisko un elektronisko iekārtu atkritumiem" 8. panta un pielikumu Nr.7 un 8.</w:t>
            </w:r>
          </w:p>
        </w:tc>
      </w:tr>
      <w:tr w:rsidR="00077B6F" w:rsidRPr="00324522" w:rsidTr="00051CC9">
        <w:trPr>
          <w:trHeight w:val="15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Ja tiek izmantotas kartona kastes, tām jābūt izgatavotām vismaz no 50 % pārstrādāta materiāla. Ja galīgajam iepakojumam izmanto plastmasas maisiņus vai loksnes, tām jābūt izgatavotām vismaz no 50 % pārstrādāto izejvielu vai arī tām jābūt bioloģiski noārdāmām vai kompostējamām saskaņā ar standartā LVS EN 13432:2001/AC:2005 "Iepakojums - Prasības iepakojumam resursu atgūšanai to kompostējot un biodegradējot – Testēšanas shēma un iepakojuma atbilstības novērtējuma kritēriji" vai līdzvērtīgos standartos noteiktajām definīcijām.</w:t>
            </w:r>
          </w:p>
        </w:tc>
      </w:tr>
      <w:tr w:rsidR="00077B6F" w:rsidRPr="00324522" w:rsidTr="00051CC9">
        <w:trPr>
          <w:trHeight w:val="9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Veselībai bīstamas vielas plastmasas daļās Plastmasas daļas, kas sver vairāk par 25 g, nesatur tādas liesmas slāpējošas vielas vai preparātus, kam piešķirts kāds no turpmāk minētajiem riska apzīmējumiem atbilstīgi Regulai (EK) Nr. 1272/2008.</w:t>
            </w:r>
          </w:p>
        </w:tc>
      </w:tr>
      <w:tr w:rsidR="00077B6F" w:rsidRPr="00324522" w:rsidTr="00051CC9">
        <w:trPr>
          <w:trHeight w:val="2542"/>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noWrap/>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Prasības datortehnikas komplektēšanai</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Sekojošajām dartortehnikas daļām, ja var piemērot, jābūt viegli pieejamām un aizsniedzamām (izmantojot universālos rīkus): </w:t>
            </w:r>
            <w:r w:rsidRPr="00324522">
              <w:rPr>
                <w:rFonts w:ascii="Times New Roman" w:eastAsia="Times New Roman" w:hAnsi="Times New Roman" w:cs="Times New Roman"/>
                <w:color w:val="000000"/>
                <w:sz w:val="20"/>
                <w:szCs w:val="20"/>
                <w:lang w:eastAsia="lv-LV"/>
              </w:rPr>
              <w:br/>
              <w:t xml:space="preserve">Datori:  </w:t>
            </w:r>
            <w:r w:rsidRPr="00324522">
              <w:rPr>
                <w:rFonts w:ascii="Times New Roman" w:eastAsia="Times New Roman" w:hAnsi="Times New Roman" w:cs="Times New Roman"/>
                <w:color w:val="000000"/>
                <w:sz w:val="20"/>
                <w:szCs w:val="20"/>
                <w:lang w:eastAsia="lv-LV"/>
              </w:rPr>
              <w:br/>
              <w:t xml:space="preserve">a)HDD/SSD un CD diskdzini, un/vai DVD diskdzini, ja datorā tāds ir;  </w:t>
            </w:r>
            <w:r w:rsidRPr="00324522">
              <w:rPr>
                <w:rFonts w:ascii="Times New Roman" w:eastAsia="Times New Roman" w:hAnsi="Times New Roman" w:cs="Times New Roman"/>
                <w:color w:val="000000"/>
                <w:sz w:val="20"/>
                <w:szCs w:val="20"/>
                <w:lang w:eastAsia="lv-LV"/>
              </w:rPr>
              <w:br/>
              <w:t xml:space="preserve">b) operatīvā atmiņa;  </w:t>
            </w:r>
            <w:r w:rsidRPr="00324522">
              <w:rPr>
                <w:rFonts w:ascii="Times New Roman" w:eastAsia="Times New Roman" w:hAnsi="Times New Roman" w:cs="Times New Roman"/>
                <w:color w:val="000000"/>
                <w:sz w:val="20"/>
                <w:szCs w:val="20"/>
                <w:lang w:eastAsia="lv-LV"/>
              </w:rPr>
              <w:br/>
              <w:t xml:space="preserve">c)baterija; </w:t>
            </w:r>
            <w:r w:rsidRPr="00324522">
              <w:rPr>
                <w:rFonts w:ascii="Times New Roman" w:eastAsia="Times New Roman" w:hAnsi="Times New Roman" w:cs="Times New Roman"/>
                <w:color w:val="000000"/>
                <w:sz w:val="20"/>
                <w:szCs w:val="20"/>
                <w:lang w:eastAsia="lv-LV"/>
              </w:rPr>
              <w:br/>
              <w:t xml:space="preserve">Displeji: </w:t>
            </w:r>
            <w:r w:rsidRPr="00324522">
              <w:rPr>
                <w:rFonts w:ascii="Times New Roman" w:eastAsia="Times New Roman" w:hAnsi="Times New Roman" w:cs="Times New Roman"/>
                <w:color w:val="000000"/>
                <w:sz w:val="20"/>
                <w:szCs w:val="20"/>
                <w:lang w:eastAsia="lv-LV"/>
              </w:rPr>
              <w:br/>
              <w:t xml:space="preserve">a) ekrāna sastāvdaļas un fona apgaismojums; </w:t>
            </w:r>
            <w:r w:rsidRPr="00324522">
              <w:rPr>
                <w:rFonts w:ascii="Times New Roman" w:eastAsia="Times New Roman" w:hAnsi="Times New Roman" w:cs="Times New Roman"/>
                <w:color w:val="000000"/>
                <w:sz w:val="20"/>
                <w:szCs w:val="20"/>
                <w:lang w:eastAsia="lv-LV"/>
              </w:rPr>
              <w:br/>
              <w:t xml:space="preserve">b) strāvas un vadības mikroshēmas; </w:t>
            </w:r>
            <w:r w:rsidRPr="00324522">
              <w:rPr>
                <w:rFonts w:ascii="Times New Roman" w:eastAsia="Times New Roman" w:hAnsi="Times New Roman" w:cs="Times New Roman"/>
                <w:color w:val="000000"/>
                <w:sz w:val="20"/>
                <w:szCs w:val="20"/>
                <w:lang w:eastAsia="lv-LV"/>
              </w:rPr>
              <w:br/>
              <w:t>c) statīvs (izņemot gadījumus, kad ir iebūvēts korpusā).</w:t>
            </w:r>
            <w:r w:rsidRPr="00324522">
              <w:rPr>
                <w:rFonts w:ascii="Times New Roman" w:eastAsia="Times New Roman" w:hAnsi="Times New Roman" w:cs="Times New Roman"/>
                <w:color w:val="000000"/>
                <w:sz w:val="20"/>
                <w:szCs w:val="20"/>
                <w:lang w:eastAsia="lv-LV"/>
              </w:rPr>
              <w:br/>
              <w:t xml:space="preserve"> </w:t>
            </w:r>
          </w:p>
        </w:tc>
      </w:tr>
      <w:tr w:rsidR="00077B6F" w:rsidRPr="00324522" w:rsidTr="00051CC9">
        <w:trPr>
          <w:trHeight w:val="1563"/>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noWrap/>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Prasības datortehnikas radītajam troksnim</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Datoru „deklarētais A-novērtētais skaņas intensitātes līmenis” (re 1 pW ), saskaņā ar ISO 9296:1988 standarta "Deklarētās datoru un uzņēmējdarbības iekārtu trokšņa emisiju vērtības" 3.2.5. punktu, kas mērīts saskaņā ar LVS EN ISO 7779:2011 standartu "Akustika. Informācijas tehnoloģiju un telekomunikāciju iekārtu radīto trokšņu mērīšana (ISO 7779:2010)" vai līdzvērtīgiem standartiem, nedrīkst pārsniegt: </w:t>
            </w:r>
            <w:r w:rsidRPr="00324522">
              <w:rPr>
                <w:rFonts w:ascii="Times New Roman" w:eastAsia="Times New Roman" w:hAnsi="Times New Roman" w:cs="Times New Roman"/>
                <w:color w:val="000000"/>
                <w:sz w:val="20"/>
                <w:szCs w:val="20"/>
                <w:lang w:eastAsia="lv-LV"/>
              </w:rPr>
              <w:br/>
              <w:t>a) 4,0 B(A) dīkstāves darbības režīmā (līdzvērtīgs 40 dB(A));</w:t>
            </w:r>
            <w:r w:rsidRPr="00324522">
              <w:rPr>
                <w:rFonts w:ascii="Times New Roman" w:eastAsia="Times New Roman" w:hAnsi="Times New Roman" w:cs="Times New Roman"/>
                <w:color w:val="000000"/>
                <w:sz w:val="20"/>
                <w:szCs w:val="20"/>
                <w:lang w:eastAsia="lv-LV"/>
              </w:rPr>
              <w:br/>
              <w:t xml:space="preserve">b) 4,0 B(A), kad darbojas cietā diska diskdzinis (l dzvērtīgs 40 dB(A)). </w:t>
            </w:r>
          </w:p>
        </w:tc>
      </w:tr>
      <w:tr w:rsidR="00077B6F" w:rsidRPr="00324522" w:rsidTr="00051CC9">
        <w:trPr>
          <w:trHeight w:val="405"/>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noWrap/>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Ja piegādātājs var piegādāt jaunāku Microsoft Windows versiju vai ekvivalents, tad to jāsaskaņo ar pircēju.</w:t>
            </w:r>
          </w:p>
        </w:tc>
      </w:tr>
      <w:tr w:rsidR="00077B6F" w:rsidRPr="00324522" w:rsidTr="00051CC9">
        <w:trPr>
          <w:trHeight w:val="12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noWrap/>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Piedāvātā datora barošanas bloks ir iekļauts 80plus.org (http://www.plugloadsolutions.com/80PlusPowerSupplies.aspx) vismaz GOLD līmenī – pievienot apstiprinošu izdruku vai precīzu saiti (izņemot, ja iekārta tiek aprīkota ar ārējo barošanas bloku, kura energoefektivitāti apstiprina pievienojot tehniskajam piedāvājumam precīzu saiti uz ražotāja tehnisko dokumentāciju). </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noWrap/>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Pretendentam ir jāgarantē, ka rezerves daļas būs pieejamas vismaz 3 gadus pēc iekārtu ražošanas beigām.</w:t>
            </w:r>
          </w:p>
        </w:tc>
      </w:tr>
      <w:tr w:rsidR="00077B6F" w:rsidRPr="00324522" w:rsidTr="00051CC9">
        <w:trPr>
          <w:trHeight w:val="300"/>
        </w:trPr>
        <w:tc>
          <w:tcPr>
            <w:tcW w:w="943" w:type="dxa"/>
            <w:vMerge w:val="restart"/>
            <w:tcBorders>
              <w:top w:val="nil"/>
              <w:left w:val="single" w:sz="4" w:space="0" w:color="auto"/>
              <w:bottom w:val="single" w:sz="4" w:space="0" w:color="auto"/>
              <w:right w:val="single" w:sz="4" w:space="0" w:color="auto"/>
            </w:tcBorders>
            <w:shd w:val="clear" w:color="auto" w:fill="auto"/>
            <w:noWrap/>
            <w:hideMark/>
          </w:tcPr>
          <w:p w:rsidR="00077B6F" w:rsidRPr="00324522" w:rsidRDefault="00077B6F" w:rsidP="00B2166D">
            <w:pPr>
              <w:spacing w:after="0" w:line="240" w:lineRule="auto"/>
              <w:jc w:val="right"/>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2.</w:t>
            </w:r>
          </w:p>
        </w:tc>
        <w:tc>
          <w:tcPr>
            <w:tcW w:w="13437" w:type="dxa"/>
            <w:gridSpan w:val="3"/>
            <w:tcBorders>
              <w:top w:val="single" w:sz="4" w:space="0" w:color="auto"/>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Vispārīgās prasības 2.daļai - "Portatīvie datori"</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Barošanas spriegums</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220V, 50 Hz.</w:t>
            </w:r>
          </w:p>
        </w:tc>
      </w:tr>
      <w:tr w:rsidR="00077B6F" w:rsidRPr="00324522" w:rsidTr="00051CC9">
        <w:trPr>
          <w:trHeight w:val="9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Savietojamība</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Piedāvātā datora modelis ir iekļauts Windows Certified Products List (https://sysdev.microsoft.com/en-US/Hardware/lpl/) attiecībā uz piedāvāto MS Windows versiju – pievienot apstiprinošu izdruku vai precīzu saiti. Procesors atbalsta x86 vai x64 komandu sistēmu.</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Komplektācija</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Portatīvā datora tīkla barošanas bloks</w:t>
            </w:r>
          </w:p>
        </w:tc>
      </w:tr>
      <w:tr w:rsidR="00077B6F" w:rsidRPr="00324522" w:rsidTr="00786B83">
        <w:trPr>
          <w:trHeight w:val="6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noWrap/>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Enerģijas patēriņa pārvaldība</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Jānodrošina lietošanas norādījumi par IT atbalstu datortehnikas videi draudzīgai pārvaldībai. Vismaz dažādu energopatēriņa pārvaldības funkciju iestatījumu apraksts</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Prasības monitoriem un displejiem</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LCD monitoru fona apgaismojumā izmantotās lampas nedrīkst saturēt dzīvsudrabu. </w:t>
            </w:r>
          </w:p>
        </w:tc>
      </w:tr>
      <w:tr w:rsidR="00077B6F" w:rsidRPr="00324522" w:rsidTr="00051CC9">
        <w:trPr>
          <w:trHeight w:val="15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val="restart"/>
            <w:tcBorders>
              <w:top w:val="nil"/>
              <w:left w:val="single" w:sz="4" w:space="0" w:color="auto"/>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Atbilstība standartiem un normatīviem aktiem</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Piedāvātajai datortehnikai ir jābūt ENERGY STAR® (atbilstoši jaunākajai spēkā esošai versijai)  sertificētai, un par šo faktu ir jāvar pārliecināties https://www.energystar.gov/index.cfm?fuseaction=products_for_partners.showComputers mājas lapā publicētajos sertificētās datortehnikas sarakstos vai arī pretendentam ir jāiesniedz neatkarīgas testēšanas laboratorijas testēšanas rezultāti (atbilstoši jaunākajai spēkā esošai ENERGY STAR® testēšanas metodikai vai ekvivalentai), kas to apliecina.</w:t>
            </w:r>
          </w:p>
        </w:tc>
      </w:tr>
      <w:tr w:rsidR="00077B6F" w:rsidRPr="00324522" w:rsidTr="00051CC9">
        <w:trPr>
          <w:trHeight w:val="12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(Communaite Europeene). Preci ražotājs ir paredzējis lietošanai Latvijas teritorijā.</w:t>
            </w:r>
          </w:p>
        </w:tc>
      </w:tr>
      <w:tr w:rsidR="00077B6F" w:rsidRPr="00324522" w:rsidTr="00051CC9">
        <w:trPr>
          <w:trHeight w:val="9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tc>
      </w:tr>
      <w:tr w:rsidR="00077B6F" w:rsidRPr="00324522" w:rsidTr="00051CC9">
        <w:trPr>
          <w:trHeight w:val="66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Koprusa un apvalku materiāliem, kuru svars ir lielāks par 100 gramiem un to laukums ir lielāks par 50 cm</w:t>
            </w:r>
            <w:r w:rsidRPr="00324522">
              <w:rPr>
                <w:rFonts w:ascii="Times New Roman" w:eastAsia="Times New Roman" w:hAnsi="Times New Roman" w:cs="Times New Roman"/>
                <w:color w:val="000000"/>
                <w:sz w:val="20"/>
                <w:szCs w:val="20"/>
                <w:vertAlign w:val="superscript"/>
                <w:lang w:eastAsia="lv-LV"/>
              </w:rPr>
              <w:t xml:space="preserve">2 </w:t>
            </w:r>
            <w:r w:rsidRPr="00324522">
              <w:rPr>
                <w:rFonts w:ascii="Times New Roman" w:eastAsia="Times New Roman" w:hAnsi="Times New Roman" w:cs="Times New Roman"/>
                <w:color w:val="000000"/>
                <w:sz w:val="20"/>
                <w:szCs w:val="20"/>
                <w:lang w:eastAsia="lv-LV"/>
              </w:rPr>
              <w:t>ir jābūt marķētiem saskaņā ar ISO 11469 un ISO 1043-1 prasībām vai ekvivalets.</w:t>
            </w:r>
          </w:p>
        </w:tc>
      </w:tr>
      <w:tr w:rsidR="00077B6F" w:rsidRPr="00324522" w:rsidTr="00051CC9">
        <w:trPr>
          <w:trHeight w:val="12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Pretendentam ir jānodrošina atkārtota tehnikas izmantošana un pārstādes serviss noteiktam elektrisko un elektroniso ierīču aprīkojumam, kas ir nolietojies. Kārtība, kā  nodrošināt ierīču atkārtotu izmantošana vai pārstrādi, tiek noteikta atbilstoši Eiropas Parlamenta un Padomes direktīvai 2012/19/ES "Par elektrisko un elektronisko iekārtu atkritumiem" 8. panta un pielikumu Nr.7 un 8. </w:t>
            </w:r>
          </w:p>
        </w:tc>
      </w:tr>
      <w:tr w:rsidR="00077B6F" w:rsidRPr="00324522" w:rsidTr="00051CC9">
        <w:trPr>
          <w:trHeight w:val="162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Ja tiek izmantotas kartona kastes, tām jābūt izgatavotām vismaz no 50 % pārstrādāta materiāla. Ja galīgajam iepakojumam izmanto plastmasas maisiņus vai loksnes, tām jābūt izgatavotām vismaz no 50 % pārstrādāto izejvielu vai arī tām jābūt bioloģiski noārdāmām vai kompostējamām saskaņā ar standartā LVS EN 13432:2001/AC:2005 "Iepakojums - Prasības iepakojumam resursu atgūšanai to kompostējot un biodegradējot – Testēšanas shēma un iepakojuma atbilstības novērtējuma kritēriji" vai līdzvērtīgos standartos noteiktajām definīcijām.</w:t>
            </w:r>
          </w:p>
        </w:tc>
      </w:tr>
      <w:tr w:rsidR="00077B6F" w:rsidRPr="00324522" w:rsidTr="00051CC9">
        <w:trPr>
          <w:trHeight w:val="705"/>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Veselībai bīstamas vielas plastmasas daļās Plastmasas daļas, kas sver vairāk par 25 g, nesatur tādas liesmas slāpējošas vielas vai preparātus, kam piešķirts kāds no turpmāk minētajiem riska apzīmējumiem atbilstīgi Regulai (EK) Nr. 1272/2008.</w:t>
            </w:r>
          </w:p>
        </w:tc>
      </w:tr>
      <w:tr w:rsidR="00077B6F" w:rsidRPr="00324522" w:rsidTr="00051CC9">
        <w:trPr>
          <w:trHeight w:val="1694"/>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Prasības datortehnikas radītajam troksnim</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Prasības portatīvajiem datoriem: „deklarētais A-novērtētais skaņas intensitātes līmenis” (re 1 pW ), saskaņā ar ISO 9296:1988 standarta "Deklarētās datoru un uzņēmējdarbības iekārtu trokšņa emisiju vērtības" 3.2.5. punktu, kas mērīts saskaņā ar LVS EN ISO 7779:2011 standartu "Akustika. Informācijas tehnoloģiju un telekomunikāciju iekārtu radīto trokšņu mērīšana (ISO 7779:2010)" vai līdzvērtīgiem standartiem, nedrīkst pārsniegt:    </w:t>
            </w:r>
            <w:r w:rsidRPr="00324522">
              <w:rPr>
                <w:rFonts w:ascii="Times New Roman" w:eastAsia="Times New Roman" w:hAnsi="Times New Roman" w:cs="Times New Roman"/>
                <w:color w:val="000000"/>
                <w:sz w:val="20"/>
                <w:szCs w:val="20"/>
                <w:lang w:eastAsia="lv-LV"/>
              </w:rPr>
              <w:br/>
              <w:t>· 3,5 B(A) dīkstāves darbības režīmā (līdzvērtīgs 35 dB(A));</w:t>
            </w:r>
            <w:r w:rsidRPr="00324522">
              <w:rPr>
                <w:rFonts w:ascii="Times New Roman" w:eastAsia="Times New Roman" w:hAnsi="Times New Roman" w:cs="Times New Roman"/>
                <w:color w:val="000000"/>
                <w:sz w:val="20"/>
                <w:szCs w:val="20"/>
                <w:lang w:eastAsia="lv-LV"/>
              </w:rPr>
              <w:br/>
              <w:t>· 4,0 B(A), kad darbojas cietā diska diskd</w:t>
            </w:r>
            <w:r>
              <w:rPr>
                <w:rFonts w:ascii="Times New Roman" w:eastAsia="Times New Roman" w:hAnsi="Times New Roman" w:cs="Times New Roman"/>
                <w:color w:val="000000"/>
                <w:sz w:val="20"/>
                <w:szCs w:val="20"/>
                <w:lang w:eastAsia="lv-LV"/>
              </w:rPr>
              <w:t>zinis (līdzvērtīgs 40 dB(A)).</w:t>
            </w:r>
            <w:r>
              <w:rPr>
                <w:rFonts w:ascii="Times New Roman" w:eastAsia="Times New Roman" w:hAnsi="Times New Roman" w:cs="Times New Roman"/>
                <w:color w:val="000000"/>
                <w:sz w:val="20"/>
                <w:szCs w:val="20"/>
                <w:lang w:eastAsia="lv-LV"/>
              </w:rPr>
              <w:br/>
            </w:r>
          </w:p>
        </w:tc>
      </w:tr>
      <w:tr w:rsidR="00077B6F" w:rsidRPr="00324522" w:rsidTr="00051CC9">
        <w:trPr>
          <w:trHeight w:val="2542"/>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Prasības datortehnikas komplektēšanai</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Sekojošajām dartortehnikas daļām , ja var piemērot, jābūt viegli pieejamām un aizsniedzamām (izmantojot universālos rīkus): </w:t>
            </w:r>
            <w:r w:rsidRPr="00324522">
              <w:rPr>
                <w:rFonts w:ascii="Times New Roman" w:eastAsia="Times New Roman" w:hAnsi="Times New Roman" w:cs="Times New Roman"/>
                <w:color w:val="000000"/>
                <w:sz w:val="20"/>
                <w:szCs w:val="20"/>
                <w:lang w:eastAsia="lv-LV"/>
              </w:rPr>
              <w:br/>
              <w:t xml:space="preserve">Displeji: </w:t>
            </w:r>
            <w:r w:rsidRPr="00324522">
              <w:rPr>
                <w:rFonts w:ascii="Times New Roman" w:eastAsia="Times New Roman" w:hAnsi="Times New Roman" w:cs="Times New Roman"/>
                <w:color w:val="000000"/>
                <w:sz w:val="20"/>
                <w:szCs w:val="20"/>
                <w:lang w:eastAsia="lv-LV"/>
              </w:rPr>
              <w:br/>
              <w:t xml:space="preserve">a) ekrāna sastāvdaļas un fona apgaismojums; </w:t>
            </w:r>
            <w:r w:rsidRPr="00324522">
              <w:rPr>
                <w:rFonts w:ascii="Times New Roman" w:eastAsia="Times New Roman" w:hAnsi="Times New Roman" w:cs="Times New Roman"/>
                <w:color w:val="000000"/>
                <w:sz w:val="20"/>
                <w:szCs w:val="20"/>
                <w:lang w:eastAsia="lv-LV"/>
              </w:rPr>
              <w:br/>
              <w:t xml:space="preserve">b) strāvas un vadības mikroshēmas; </w:t>
            </w:r>
            <w:r w:rsidRPr="00324522">
              <w:rPr>
                <w:rFonts w:ascii="Times New Roman" w:eastAsia="Times New Roman" w:hAnsi="Times New Roman" w:cs="Times New Roman"/>
                <w:color w:val="000000"/>
                <w:sz w:val="20"/>
                <w:szCs w:val="20"/>
                <w:lang w:eastAsia="lv-LV"/>
              </w:rPr>
              <w:br/>
              <w:t xml:space="preserve">c) statīvs (izņemot gadījumus, kad ir iebūvēts korpusā); </w:t>
            </w:r>
            <w:r w:rsidRPr="00324522">
              <w:rPr>
                <w:rFonts w:ascii="Times New Roman" w:eastAsia="Times New Roman" w:hAnsi="Times New Roman" w:cs="Times New Roman"/>
                <w:color w:val="000000"/>
                <w:sz w:val="20"/>
                <w:szCs w:val="20"/>
                <w:lang w:eastAsia="lv-LV"/>
              </w:rPr>
              <w:br/>
              <w:t xml:space="preserve">Portatīvie datori ar planšetdatoru funkcionalitāti: </w:t>
            </w:r>
            <w:r w:rsidRPr="00324522">
              <w:rPr>
                <w:rFonts w:ascii="Times New Roman" w:eastAsia="Times New Roman" w:hAnsi="Times New Roman" w:cs="Times New Roman"/>
                <w:color w:val="000000"/>
                <w:sz w:val="20"/>
                <w:szCs w:val="20"/>
                <w:lang w:eastAsia="lv-LV"/>
              </w:rPr>
              <w:br/>
              <w:t xml:space="preserve">a) HDD/SSD; </w:t>
            </w:r>
            <w:r w:rsidRPr="00324522">
              <w:rPr>
                <w:rFonts w:ascii="Times New Roman" w:eastAsia="Times New Roman" w:hAnsi="Times New Roman" w:cs="Times New Roman"/>
                <w:color w:val="000000"/>
                <w:sz w:val="20"/>
                <w:szCs w:val="20"/>
                <w:lang w:eastAsia="lv-LV"/>
              </w:rPr>
              <w:br/>
              <w:t xml:space="preserve">b) operatīvā atmiņa. </w:t>
            </w:r>
            <w:r w:rsidRPr="00324522">
              <w:rPr>
                <w:rFonts w:ascii="Times New Roman" w:eastAsia="Times New Roman" w:hAnsi="Times New Roman" w:cs="Times New Roman"/>
                <w:color w:val="000000"/>
                <w:sz w:val="20"/>
                <w:szCs w:val="20"/>
                <w:lang w:eastAsia="lv-LV"/>
              </w:rPr>
              <w:br/>
              <w:t xml:space="preserve">Batereja nav pielīmēta vai pielodēta un būtu iespēja nodrošināt to maiņu. </w:t>
            </w:r>
          </w:p>
        </w:tc>
      </w:tr>
      <w:tr w:rsidR="00077B6F" w:rsidRPr="00324522" w:rsidTr="00051CC9">
        <w:trPr>
          <w:trHeight w:val="435"/>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Ja piegādātājs var piegādāt jaunāku Microsoft Windows versiju  vai ekvivalents, tas tiek saskaņots ar pircēja vajadzībām.</w:t>
            </w:r>
          </w:p>
        </w:tc>
      </w:tr>
      <w:tr w:rsidR="00077B6F" w:rsidRPr="00324522" w:rsidTr="00051CC9">
        <w:trPr>
          <w:trHeight w:val="36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Pretendentam ir jāgarantē, ka rezerves daļas būs pieejamas vismaz 3 gadus pēc iekārtu ražošanas beigām.</w:t>
            </w:r>
          </w:p>
        </w:tc>
      </w:tr>
      <w:tr w:rsidR="00077B6F" w:rsidRPr="00324522" w:rsidTr="00051CC9">
        <w:trPr>
          <w:trHeight w:val="300"/>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077B6F" w:rsidRPr="00324522" w:rsidRDefault="00077B6F" w:rsidP="00B2166D">
            <w:pPr>
              <w:spacing w:after="0" w:line="240" w:lineRule="auto"/>
              <w:jc w:val="right"/>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3.</w:t>
            </w:r>
          </w:p>
        </w:tc>
        <w:tc>
          <w:tcPr>
            <w:tcW w:w="1343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77B6F" w:rsidRPr="00324522" w:rsidRDefault="00077B6F" w:rsidP="00B2166D">
            <w:pPr>
              <w:spacing w:after="0" w:line="240" w:lineRule="auto"/>
              <w:rPr>
                <w:rFonts w:ascii="Times New Roman" w:eastAsia="Times New Roman" w:hAnsi="Times New Roman" w:cs="Times New Roman"/>
                <w:b/>
                <w:bCs/>
                <w:sz w:val="20"/>
                <w:szCs w:val="20"/>
                <w:lang w:eastAsia="lv-LV"/>
              </w:rPr>
            </w:pPr>
            <w:r w:rsidRPr="00324522">
              <w:rPr>
                <w:rFonts w:ascii="Times New Roman" w:eastAsia="Times New Roman" w:hAnsi="Times New Roman" w:cs="Times New Roman"/>
                <w:b/>
                <w:bCs/>
                <w:sz w:val="20"/>
                <w:szCs w:val="20"/>
                <w:lang w:eastAsia="lv-LV"/>
              </w:rPr>
              <w:t>Vispārīgās prasības 3.daļai - "Monitori"</w:t>
            </w:r>
          </w:p>
        </w:tc>
      </w:tr>
      <w:tr w:rsidR="00077B6F" w:rsidRPr="00324522" w:rsidTr="00051CC9">
        <w:trPr>
          <w:trHeight w:val="15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val="restart"/>
            <w:tcBorders>
              <w:top w:val="nil"/>
              <w:left w:val="single" w:sz="4" w:space="0" w:color="auto"/>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Atbilstība standartiem un normatīviem aktiem</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Piedāvātajai datortehnikai ir jābūt ENERGY STAR® (atbilstoši jaunākajai spēkā esošai versijai)  sertificētai, un par šo faktu ir jāvar pārliecināties https://www.energystar.gov/index.cfm?fuseaction=products_for_partners.showComputers mājas lapā publicētajos sertificētās datortehnikas sarakstos vai arī pretendentam ir jāiesniedz neatkarīgas testēšanas laboratorijas testēšanas rezultāti (atbilstoši jaunākajai spēkā esošai ENERGY STAR® testēšanas metodikai vai ekvivalentai), kas to apliecina.</w:t>
            </w:r>
          </w:p>
        </w:tc>
      </w:tr>
      <w:tr w:rsidR="00077B6F" w:rsidRPr="00324522" w:rsidTr="00051CC9">
        <w:trPr>
          <w:trHeight w:val="12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(Communaite Europeene). Preci ražotājs ir paredzējis lietošanai Latvijas teritorijā.</w:t>
            </w:r>
          </w:p>
        </w:tc>
      </w:tr>
      <w:tr w:rsidR="00077B6F" w:rsidRPr="00324522" w:rsidTr="00051CC9">
        <w:trPr>
          <w:trHeight w:val="9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tc>
      </w:tr>
      <w:tr w:rsidR="00077B6F" w:rsidRPr="00324522" w:rsidTr="00051CC9">
        <w:trPr>
          <w:trHeight w:val="66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Koprusa un apvalku materiāliem, kuru svars ir lielāks par 100 gramiem un to laukums ir lielāks par 50 cm</w:t>
            </w:r>
            <w:r w:rsidRPr="00324522">
              <w:rPr>
                <w:rFonts w:ascii="Times New Roman" w:eastAsia="Times New Roman" w:hAnsi="Times New Roman" w:cs="Times New Roman"/>
                <w:color w:val="000000"/>
                <w:sz w:val="20"/>
                <w:szCs w:val="20"/>
                <w:vertAlign w:val="superscript"/>
                <w:lang w:eastAsia="lv-LV"/>
              </w:rPr>
              <w:t xml:space="preserve">2 </w:t>
            </w:r>
            <w:r w:rsidRPr="00324522">
              <w:rPr>
                <w:rFonts w:ascii="Times New Roman" w:eastAsia="Times New Roman" w:hAnsi="Times New Roman" w:cs="Times New Roman"/>
                <w:color w:val="000000"/>
                <w:sz w:val="20"/>
                <w:szCs w:val="20"/>
                <w:lang w:eastAsia="lv-LV"/>
              </w:rPr>
              <w:t>ir jābūt marķētiem saskaņā ar ISO 11469 un ISO 1043-1 prasībām vai ekvivalents.</w:t>
            </w:r>
          </w:p>
        </w:tc>
      </w:tr>
      <w:tr w:rsidR="00077B6F" w:rsidRPr="00324522" w:rsidTr="00051CC9">
        <w:trPr>
          <w:trHeight w:val="12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Pretendentam ir jānodrošina atkārtota tehnikas izmantošana un pārstādes serviss noteiktam elektrisko un elektroniso ierīču aprīkojumam, kas ir nolietojies. Kārtība, kā  nodrošināt ierīču atkārtotu izmantošana vai pārstrādi, tiek noteikta atbilstoši Eiropas Parlamenta un Padomes Direktīvai 2012/19/ES "Par elektrisko un elektronisko iekārtu atkritumiem" 8. panta un pielikumu Nr.7 un 8.</w:t>
            </w:r>
          </w:p>
        </w:tc>
      </w:tr>
      <w:tr w:rsidR="00077B6F" w:rsidRPr="00324522" w:rsidTr="00051CC9">
        <w:trPr>
          <w:trHeight w:val="1605"/>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Ja tiek izmantotas kartona kastes, tām jābūt izgatavotām vismaz no 50 % pārstrādāta materiāla. Ja galīgajam iepakojumam izmanto plastmasas maisiņus vai loksnes, tām jābūt izgatavotām vismaz no 50 % pārstrādāto izejvielu vai arī tām jābūt bioloģiski noārdāmām vai kompostējamām saskaņā ar standartā LVS EN 13432:2001/AC:2005 "Iepakojums - Prasības iepakojumam resursu atgūšanai to kompostējot un biodegradējot – Testēšanas shēma un iepakojuma atbilstības novērtējuma kritēriji" vai līdzvērtīgos standartos noteiktajām definīcijām.</w:t>
            </w:r>
          </w:p>
        </w:tc>
      </w:tr>
      <w:tr w:rsidR="00077B6F" w:rsidRPr="00324522" w:rsidTr="00051CC9">
        <w:trPr>
          <w:trHeight w:val="66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Veselībai bīstamas vielas plastmasas daļās Plastmasas daļas, kas sver vairāk par 25 g, nesatur tādas liesmas slāpējošas vielas vai preparātus, kam piešķirts kāds no turpmāk minētajiem riska apzīmējumiem atbilstīgi Regulai (EK) Nr. 1272/2008.</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val="restart"/>
            <w:tcBorders>
              <w:top w:val="nil"/>
              <w:left w:val="single" w:sz="4" w:space="0" w:color="auto"/>
              <w:bottom w:val="single" w:sz="4" w:space="0" w:color="000000"/>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Enerģijas pārvaldības funkcija</w:t>
            </w:r>
          </w:p>
        </w:tc>
        <w:tc>
          <w:tcPr>
            <w:tcW w:w="8006" w:type="dxa"/>
            <w:gridSpan w:val="2"/>
            <w:tcBorders>
              <w:top w:val="nil"/>
              <w:left w:val="nil"/>
              <w:bottom w:val="single" w:sz="4" w:space="0" w:color="auto"/>
              <w:right w:val="single" w:sz="4" w:space="0" w:color="auto"/>
            </w:tcBorders>
            <w:shd w:val="clear" w:color="auto" w:fill="auto"/>
            <w:noWrap/>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Uz aprīkojuma (uz visiem produktiem) jābūt enerģijas pārvaldes funkcijām.</w:t>
            </w:r>
          </w:p>
        </w:tc>
      </w:tr>
      <w:tr w:rsidR="00077B6F" w:rsidRPr="00324522" w:rsidTr="00786B83">
        <w:trPr>
          <w:trHeight w:val="6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000000"/>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Jānodrošina lietošanas norādījumi par IT atbalstu datortehnikas videi draudzīgai pārvaldībai. Vismaz dažādu energopatēriņa pārvaldības funkciju iestatījumu apraksts</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Prasības monitoriem un displejiem</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LCD monitoru fona apgaismojumā izmantotās lampas nedrīkst saturēt dzīvsudrabu. </w:t>
            </w:r>
          </w:p>
        </w:tc>
      </w:tr>
      <w:tr w:rsidR="00077B6F" w:rsidRPr="00324522" w:rsidTr="00051CC9">
        <w:trPr>
          <w:trHeight w:val="2475"/>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Prasības datortehnikas komplektēšanai</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Sekojošajām dartortehnikas daļām, ja var piemērot, jābūt viegli pieejamām un aizsniedzamām (izmantojot universālos rīkus): </w:t>
            </w:r>
            <w:r w:rsidRPr="00324522">
              <w:rPr>
                <w:rFonts w:ascii="Times New Roman" w:eastAsia="Times New Roman" w:hAnsi="Times New Roman" w:cs="Times New Roman"/>
                <w:color w:val="000000"/>
                <w:sz w:val="20"/>
                <w:szCs w:val="20"/>
                <w:lang w:eastAsia="lv-LV"/>
              </w:rPr>
              <w:br/>
              <w:t xml:space="preserve">Datori:  </w:t>
            </w:r>
            <w:r w:rsidRPr="00324522">
              <w:rPr>
                <w:rFonts w:ascii="Times New Roman" w:eastAsia="Times New Roman" w:hAnsi="Times New Roman" w:cs="Times New Roman"/>
                <w:color w:val="000000"/>
                <w:sz w:val="20"/>
                <w:szCs w:val="20"/>
                <w:lang w:eastAsia="lv-LV"/>
              </w:rPr>
              <w:br/>
              <w:t xml:space="preserve">a)HDD/SSD un CD diskdzini, un/vai DVD diskdzini, ja datorā tāds ir;  </w:t>
            </w:r>
            <w:r w:rsidRPr="00324522">
              <w:rPr>
                <w:rFonts w:ascii="Times New Roman" w:eastAsia="Times New Roman" w:hAnsi="Times New Roman" w:cs="Times New Roman"/>
                <w:color w:val="000000"/>
                <w:sz w:val="20"/>
                <w:szCs w:val="20"/>
                <w:lang w:eastAsia="lv-LV"/>
              </w:rPr>
              <w:br/>
              <w:t xml:space="preserve">b) operatīvā atmiņa;  </w:t>
            </w:r>
            <w:r w:rsidRPr="00324522">
              <w:rPr>
                <w:rFonts w:ascii="Times New Roman" w:eastAsia="Times New Roman" w:hAnsi="Times New Roman" w:cs="Times New Roman"/>
                <w:color w:val="000000"/>
                <w:sz w:val="20"/>
                <w:szCs w:val="20"/>
                <w:lang w:eastAsia="lv-LV"/>
              </w:rPr>
              <w:br/>
              <w:t xml:space="preserve">Displeji: </w:t>
            </w:r>
            <w:r w:rsidRPr="00324522">
              <w:rPr>
                <w:rFonts w:ascii="Times New Roman" w:eastAsia="Times New Roman" w:hAnsi="Times New Roman" w:cs="Times New Roman"/>
                <w:color w:val="000000"/>
                <w:sz w:val="20"/>
                <w:szCs w:val="20"/>
                <w:lang w:eastAsia="lv-LV"/>
              </w:rPr>
              <w:br/>
              <w:t xml:space="preserve">a) ekrāna sastāvdaļas un fona apgaismojums; </w:t>
            </w:r>
            <w:r w:rsidRPr="00324522">
              <w:rPr>
                <w:rFonts w:ascii="Times New Roman" w:eastAsia="Times New Roman" w:hAnsi="Times New Roman" w:cs="Times New Roman"/>
                <w:color w:val="000000"/>
                <w:sz w:val="20"/>
                <w:szCs w:val="20"/>
                <w:lang w:eastAsia="lv-LV"/>
              </w:rPr>
              <w:br/>
              <w:t xml:space="preserve">b) strāvas un vadības mikroshēmas; </w:t>
            </w:r>
            <w:r w:rsidRPr="00324522">
              <w:rPr>
                <w:rFonts w:ascii="Times New Roman" w:eastAsia="Times New Roman" w:hAnsi="Times New Roman" w:cs="Times New Roman"/>
                <w:color w:val="000000"/>
                <w:sz w:val="20"/>
                <w:szCs w:val="20"/>
                <w:lang w:eastAsia="lv-LV"/>
              </w:rPr>
              <w:br/>
              <w:t>c) statīvs (izņemot gadījumus, kad ir iebūvēts korpusā).</w:t>
            </w:r>
          </w:p>
        </w:tc>
      </w:tr>
      <w:tr w:rsidR="00077B6F" w:rsidRPr="00324522" w:rsidTr="00051CC9">
        <w:trPr>
          <w:trHeight w:val="300"/>
        </w:trPr>
        <w:tc>
          <w:tcPr>
            <w:tcW w:w="943" w:type="dxa"/>
            <w:vMerge w:val="restart"/>
            <w:tcBorders>
              <w:top w:val="nil"/>
              <w:left w:val="single" w:sz="4" w:space="0" w:color="auto"/>
              <w:bottom w:val="single" w:sz="4" w:space="0" w:color="auto"/>
              <w:right w:val="single" w:sz="4" w:space="0" w:color="auto"/>
            </w:tcBorders>
            <w:shd w:val="clear" w:color="auto" w:fill="auto"/>
            <w:noWrap/>
            <w:hideMark/>
          </w:tcPr>
          <w:p w:rsidR="00077B6F" w:rsidRPr="00324522" w:rsidRDefault="00077B6F" w:rsidP="00B2166D">
            <w:pPr>
              <w:spacing w:after="0" w:line="240" w:lineRule="auto"/>
              <w:jc w:val="right"/>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4.</w:t>
            </w:r>
          </w:p>
        </w:tc>
        <w:tc>
          <w:tcPr>
            <w:tcW w:w="1343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Vispārējās prasības 4.daļai "Planšetdatori"</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Barošanas spriegums</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220V, 50 Hz.</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Komplektācija</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Planšetdatora tīkla barošanas bloks un visi tehniskajā specifikācijā norādītie papildu adapteri.</w:t>
            </w:r>
          </w:p>
        </w:tc>
      </w:tr>
      <w:tr w:rsidR="00077B6F" w:rsidRPr="00324522" w:rsidTr="00786B83">
        <w:trPr>
          <w:trHeight w:val="6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bookmarkStart w:id="1" w:name="_GoBack" w:colFirst="1" w:colLast="2"/>
          </w:p>
        </w:tc>
        <w:tc>
          <w:tcPr>
            <w:tcW w:w="5431" w:type="dxa"/>
            <w:tcBorders>
              <w:top w:val="nil"/>
              <w:left w:val="nil"/>
              <w:bottom w:val="single" w:sz="4" w:space="0" w:color="auto"/>
              <w:right w:val="single" w:sz="4" w:space="0" w:color="auto"/>
            </w:tcBorders>
            <w:shd w:val="clear" w:color="auto" w:fill="auto"/>
            <w:noWrap/>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Enerģijas patēriņa pārvaldība</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Jānodrošina lietošanas norādījumi par IT atbalstu datortehnikas videi draudzīgai pārvaldībai. Vismaz dažādu energopatēriņa pārvaldības funkciju iestatījumu apraksts</w:t>
            </w:r>
          </w:p>
        </w:tc>
      </w:tr>
      <w:bookmarkEnd w:id="1"/>
      <w:tr w:rsidR="00077B6F" w:rsidRPr="00324522" w:rsidTr="00051CC9">
        <w:trPr>
          <w:trHeight w:val="1575"/>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val="restart"/>
            <w:tcBorders>
              <w:top w:val="nil"/>
              <w:left w:val="single" w:sz="4" w:space="0" w:color="auto"/>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Atbilstība standartiem un normatīviem aktiem</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Piedāvātajai datortehnikai ir jābūt ENERGY STAR® (atbilstoši jaunākajai spēkā esošai versijai)  sertificētai, un par šo faktu ir jāvar pārliecināties https://www.energystar.gov/index.cfm?fuseaction=products_for_partners.showComputers mājas lapā publicētajos sertificētās datortehnikas sarakstos vai arī pretendentam ir jāiesniedz neatkarīgas testēšanas laboratorijas testēšanas rezultāti (atbilstoši jaunākajai spēkā esošai ENERGY STAR® testēšanas metodikai vai ekvivalentai), kas to apliecina.</w:t>
            </w:r>
          </w:p>
        </w:tc>
      </w:tr>
      <w:tr w:rsidR="00077B6F" w:rsidRPr="00324522" w:rsidTr="00051CC9">
        <w:trPr>
          <w:trHeight w:val="1245"/>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(Communaite Europeene) vai ekvivalents. Preci ražotājs ir paredzējis lietošanai Latvijas teritorijā.</w:t>
            </w:r>
          </w:p>
        </w:tc>
      </w:tr>
      <w:tr w:rsidR="00077B6F" w:rsidRPr="00324522" w:rsidTr="00051CC9">
        <w:trPr>
          <w:trHeight w:val="9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tc>
      </w:tr>
      <w:tr w:rsidR="00077B6F" w:rsidRPr="00324522" w:rsidTr="00051CC9">
        <w:trPr>
          <w:trHeight w:val="66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Koprusa un apvalku materiāliem, kuru svars ir lielāks par 100 gramiem un to laukums ir lielāks par 50 cm</w:t>
            </w:r>
            <w:r w:rsidRPr="00324522">
              <w:rPr>
                <w:rFonts w:ascii="Times New Roman" w:eastAsia="Times New Roman" w:hAnsi="Times New Roman" w:cs="Times New Roman"/>
                <w:color w:val="000000"/>
                <w:sz w:val="20"/>
                <w:szCs w:val="20"/>
                <w:vertAlign w:val="superscript"/>
                <w:lang w:eastAsia="lv-LV"/>
              </w:rPr>
              <w:t xml:space="preserve">2 </w:t>
            </w:r>
            <w:r w:rsidRPr="00324522">
              <w:rPr>
                <w:rFonts w:ascii="Times New Roman" w:eastAsia="Times New Roman" w:hAnsi="Times New Roman" w:cs="Times New Roman"/>
                <w:color w:val="000000"/>
                <w:sz w:val="20"/>
                <w:szCs w:val="20"/>
                <w:lang w:eastAsia="lv-LV"/>
              </w:rPr>
              <w:t>ir jābūt marķētiem saskaņā ar ISO 11469 un ISO 1043-1 prasībām vai ekvivalents.</w:t>
            </w:r>
          </w:p>
        </w:tc>
      </w:tr>
      <w:tr w:rsidR="00077B6F" w:rsidRPr="00324522" w:rsidTr="00051CC9">
        <w:trPr>
          <w:trHeight w:val="12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Pretendentam ir jānodrošina atkārtota tehnikas izmantošana un pārstādes serviss noteiktam elektrisko un elektroniso ierīču aprīkojumam, kas ir nolietojies. Kārtība, kā  nodrošināt ierīču atkārtotu izmantošana vai pārstrādi, tiek noteikta atbilstoši Eiropas Parlamenta un Padomes Direktīvai 2012/19/ES "Par elektrisko un elektronisko iekārtu atkritumiem" 8. panta un pielikumu Nr.7 un 8.</w:t>
            </w:r>
          </w:p>
        </w:tc>
      </w:tr>
      <w:tr w:rsidR="00077B6F" w:rsidRPr="00324522" w:rsidTr="00051CC9">
        <w:trPr>
          <w:trHeight w:val="156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Ja tiek izmantotas kartona kastes, tām jābūt izgatavotām vismaz no 50 % pārstrādāta materiāla. Ja galīgajam iepakojumam izmanto plastmasas maisiņus vai loksnes, tām jābūt izgatavotām vismaz no 50 % pārstrādāto izejvielu vai arī tām jābūt bioloģiski noārdāmām vai kompostējamām saskaņā ar standartā LVS EN 13432:2001/AC:2005 "Iepakojums - Prasības iepakojumam resursu atgūšanai to kompostējot un biodegradējot – Testēšanas shēma un iepakojuma atbilstības novērtējuma kritēriji" vai līdzvērtīgos standartos noteiktajām definīcijām.</w:t>
            </w:r>
          </w:p>
        </w:tc>
      </w:tr>
      <w:tr w:rsidR="00077B6F" w:rsidRPr="00324522" w:rsidTr="00051CC9">
        <w:trPr>
          <w:trHeight w:val="6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Veselībai bīstamas vielas plastmasas daļās Plastmasas daļas, kas sver vairāk par 25 g, nesatur tādas liesmas slāpējošas vielas vai preparātus, kam piešķirts kāds no turpmāk minētajiem riska apzīmējumiem atbilstīgi Regulai (EK) Nr. 1272/2008.</w:t>
            </w:r>
          </w:p>
        </w:tc>
      </w:tr>
      <w:tr w:rsidR="00077B6F" w:rsidRPr="00324522" w:rsidTr="00051CC9">
        <w:trPr>
          <w:trHeight w:val="1515"/>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Prasības datortehnikas komplektēšanai</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 xml:space="preserve">Sekojošajām dartortehnikas daļām, ja var piemērot, jābūt viegli pieejamām un aizsniedzamām (izmantojot universālos rīkus): </w:t>
            </w:r>
            <w:r w:rsidRPr="00324522">
              <w:rPr>
                <w:rFonts w:ascii="Times New Roman" w:eastAsia="Times New Roman" w:hAnsi="Times New Roman" w:cs="Times New Roman"/>
                <w:sz w:val="20"/>
                <w:szCs w:val="20"/>
                <w:lang w:eastAsia="lv-LV"/>
              </w:rPr>
              <w:br/>
              <w:t xml:space="preserve">  Planšetdatori: </w:t>
            </w:r>
            <w:r w:rsidRPr="00324522">
              <w:rPr>
                <w:rFonts w:ascii="Times New Roman" w:eastAsia="Times New Roman" w:hAnsi="Times New Roman" w:cs="Times New Roman"/>
                <w:sz w:val="20"/>
                <w:szCs w:val="20"/>
                <w:lang w:eastAsia="lv-LV"/>
              </w:rPr>
              <w:br/>
              <w:t xml:space="preserve">a) HDD/SSD; </w:t>
            </w:r>
            <w:r w:rsidRPr="00324522">
              <w:rPr>
                <w:rFonts w:ascii="Times New Roman" w:eastAsia="Times New Roman" w:hAnsi="Times New Roman" w:cs="Times New Roman"/>
                <w:sz w:val="20"/>
                <w:szCs w:val="20"/>
                <w:lang w:eastAsia="lv-LV"/>
              </w:rPr>
              <w:br/>
              <w:t xml:space="preserve">b) operatīvā atmiņa. </w:t>
            </w:r>
            <w:r w:rsidRPr="00324522">
              <w:rPr>
                <w:rFonts w:ascii="Times New Roman" w:eastAsia="Times New Roman" w:hAnsi="Times New Roman" w:cs="Times New Roman"/>
                <w:sz w:val="20"/>
                <w:szCs w:val="20"/>
                <w:lang w:eastAsia="lv-LV"/>
              </w:rPr>
              <w:br/>
              <w:t xml:space="preserve">Batereja nav pielīmēta vai pielodēta un būtu iespēja nodrošināt to maiņu. </w:t>
            </w:r>
          </w:p>
        </w:tc>
      </w:tr>
      <w:tr w:rsidR="00077B6F" w:rsidRPr="00324522" w:rsidTr="00051CC9">
        <w:trPr>
          <w:trHeight w:val="1515"/>
        </w:trPr>
        <w:tc>
          <w:tcPr>
            <w:tcW w:w="943" w:type="dxa"/>
            <w:tcBorders>
              <w:top w:val="nil"/>
              <w:left w:val="single" w:sz="4" w:space="0" w:color="auto"/>
              <w:bottom w:val="single" w:sz="4" w:space="0" w:color="auto"/>
              <w:right w:val="single" w:sz="4" w:space="0" w:color="auto"/>
            </w:tcBorders>
            <w:shd w:val="clear" w:color="auto" w:fill="auto"/>
            <w:noWrap/>
            <w:hideMark/>
          </w:tcPr>
          <w:p w:rsidR="00077B6F" w:rsidRPr="00324522" w:rsidRDefault="00077B6F" w:rsidP="00B2166D">
            <w:pPr>
              <w:spacing w:after="0" w:line="240" w:lineRule="auto"/>
              <w:jc w:val="right"/>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w:t>
            </w: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Preces piegāde</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 xml:space="preserve">30 (trīsdesmit) darba dienu laikā Rīgā, Daugavpilī, Ventspilī, Liepājā, Cēsīs no pasūtījuma saņemšanas dienas. (sk. 3.tabulu zemāk). Iepirkuma līgums tiks slēgts uz 24 mēnešiem vai līdz kopējās līgumcenas sasniegšanai (EUR 143 999,00 bez PVN), atkarībā no tā kurš no nosacījumiem iestāsies pirmais. </w:t>
            </w:r>
          </w:p>
        </w:tc>
      </w:tr>
      <w:tr w:rsidR="00051CC9" w:rsidRPr="00324522" w:rsidTr="00051CC9">
        <w:trPr>
          <w:gridAfter w:val="1"/>
          <w:wAfter w:w="6374" w:type="dxa"/>
          <w:trHeight w:val="300"/>
        </w:trPr>
        <w:tc>
          <w:tcPr>
            <w:tcW w:w="8006" w:type="dxa"/>
            <w:gridSpan w:val="3"/>
            <w:tcBorders>
              <w:top w:val="nil"/>
              <w:left w:val="nil"/>
              <w:bottom w:val="nil"/>
              <w:right w:val="nil"/>
            </w:tcBorders>
            <w:shd w:val="clear" w:color="auto" w:fill="auto"/>
            <w:noWrap/>
            <w:vAlign w:val="bottom"/>
            <w:hideMark/>
          </w:tcPr>
          <w:p w:rsidR="00051CC9" w:rsidRDefault="00051CC9" w:rsidP="00B2166D">
            <w:pPr>
              <w:spacing w:after="0" w:line="240" w:lineRule="auto"/>
              <w:rPr>
                <w:rFonts w:ascii="Times New Roman" w:eastAsia="Times New Roman" w:hAnsi="Times New Roman" w:cs="Times New Roman"/>
                <w:sz w:val="20"/>
                <w:szCs w:val="20"/>
                <w:lang w:eastAsia="lv-LV"/>
              </w:rPr>
            </w:pPr>
          </w:p>
          <w:p w:rsidR="00051CC9" w:rsidRDefault="00051CC9" w:rsidP="00B2166D">
            <w:pPr>
              <w:spacing w:after="0" w:line="240" w:lineRule="auto"/>
              <w:rPr>
                <w:rFonts w:ascii="Times New Roman" w:eastAsia="Times New Roman" w:hAnsi="Times New Roman" w:cs="Times New Roman"/>
                <w:sz w:val="20"/>
                <w:szCs w:val="20"/>
                <w:lang w:eastAsia="lv-LV"/>
              </w:rPr>
            </w:pPr>
          </w:p>
          <w:p w:rsidR="00051CC9" w:rsidRPr="00324522" w:rsidRDefault="00051CC9"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585"/>
        </w:trPr>
        <w:tc>
          <w:tcPr>
            <w:tcW w:w="14380" w:type="dxa"/>
            <w:gridSpan w:val="4"/>
            <w:tcBorders>
              <w:top w:val="nil"/>
              <w:left w:val="nil"/>
              <w:bottom w:val="nil"/>
              <w:right w:val="nil"/>
            </w:tcBorders>
            <w:shd w:val="clear" w:color="000000" w:fill="FFFFFF"/>
            <w:vAlign w:val="bottom"/>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tc>
      </w:tr>
      <w:tr w:rsidR="00077B6F" w:rsidRPr="00324522" w:rsidTr="00051CC9">
        <w:trPr>
          <w:trHeight w:val="900"/>
        </w:trPr>
        <w:tc>
          <w:tcPr>
            <w:tcW w:w="14380" w:type="dxa"/>
            <w:gridSpan w:val="4"/>
            <w:tcBorders>
              <w:top w:val="nil"/>
              <w:left w:val="nil"/>
              <w:bottom w:val="nil"/>
              <w:right w:val="nil"/>
            </w:tcBorders>
            <w:shd w:val="clear" w:color="000000" w:fill="FFFFFF"/>
            <w:vAlign w:val="bottom"/>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tc>
      </w:tr>
      <w:tr w:rsidR="00077B6F" w:rsidRPr="00324522" w:rsidTr="00051CC9">
        <w:trPr>
          <w:trHeight w:val="300"/>
        </w:trPr>
        <w:tc>
          <w:tcPr>
            <w:tcW w:w="943" w:type="dxa"/>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nil"/>
              <w:right w:val="nil"/>
            </w:tcBorders>
            <w:shd w:val="clear" w:color="auto" w:fill="auto"/>
            <w:noWrap/>
            <w:vAlign w:val="bottom"/>
            <w:hideMark/>
          </w:tcPr>
          <w:p w:rsidR="00077B6F" w:rsidRPr="00324522" w:rsidRDefault="00077B6F" w:rsidP="00B2166D">
            <w:pPr>
              <w:spacing w:after="0" w:line="240" w:lineRule="auto"/>
              <w:jc w:val="right"/>
              <w:rPr>
                <w:rFonts w:ascii="Times" w:eastAsia="Times New Roman" w:hAnsi="Times" w:cs="Times"/>
                <w:sz w:val="20"/>
                <w:szCs w:val="20"/>
                <w:lang w:eastAsia="lv-LV"/>
              </w:rPr>
            </w:pPr>
            <w:r w:rsidRPr="00324522">
              <w:rPr>
                <w:rFonts w:ascii="Times" w:eastAsia="Times New Roman" w:hAnsi="Times" w:cs="Times"/>
                <w:sz w:val="20"/>
                <w:szCs w:val="20"/>
                <w:lang w:eastAsia="lv-LV"/>
              </w:rPr>
              <w:t>3.tabula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jc w:val="right"/>
              <w:rPr>
                <w:rFonts w:ascii="Times" w:eastAsia="Times New Roman" w:hAnsi="Times" w:cs="Times"/>
                <w:sz w:val="20"/>
                <w:szCs w:val="20"/>
                <w:lang w:eastAsia="lv-LV"/>
              </w:rPr>
            </w:pPr>
          </w:p>
        </w:tc>
      </w:tr>
      <w:tr w:rsidR="00077B6F" w:rsidRPr="00324522" w:rsidTr="00051CC9">
        <w:trPr>
          <w:trHeight w:val="315"/>
        </w:trPr>
        <w:tc>
          <w:tcPr>
            <w:tcW w:w="6374" w:type="dxa"/>
            <w:gridSpan w:val="2"/>
            <w:tcBorders>
              <w:top w:val="nil"/>
              <w:left w:val="nil"/>
              <w:bottom w:val="nil"/>
              <w:right w:val="nil"/>
            </w:tcBorders>
            <w:shd w:val="clear" w:color="auto" w:fill="auto"/>
            <w:noWrap/>
            <w:vAlign w:val="center"/>
            <w:hideMark/>
          </w:tcPr>
          <w:p w:rsidR="00077B6F" w:rsidRPr="00324522" w:rsidRDefault="00077B6F" w:rsidP="00B2166D">
            <w:pPr>
              <w:spacing w:after="0" w:line="240" w:lineRule="auto"/>
              <w:jc w:val="center"/>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Preces piegādes adreses</w:t>
            </w:r>
          </w:p>
        </w:tc>
        <w:tc>
          <w:tcPr>
            <w:tcW w:w="8006" w:type="dxa"/>
            <w:gridSpan w:val="2"/>
            <w:tcBorders>
              <w:top w:val="nil"/>
              <w:left w:val="nil"/>
              <w:bottom w:val="nil"/>
              <w:right w:val="nil"/>
            </w:tcBorders>
            <w:shd w:val="clear" w:color="auto" w:fill="auto"/>
            <w:noWrap/>
            <w:vAlign w:val="center"/>
            <w:hideMark/>
          </w:tcPr>
          <w:p w:rsidR="00077B6F" w:rsidRPr="00324522" w:rsidRDefault="00077B6F" w:rsidP="00B2166D">
            <w:pPr>
              <w:spacing w:after="0" w:line="240" w:lineRule="auto"/>
              <w:jc w:val="center"/>
              <w:rPr>
                <w:rFonts w:ascii="Times New Roman" w:eastAsia="Times New Roman" w:hAnsi="Times New Roman" w:cs="Times New Roman"/>
                <w:b/>
                <w:bCs/>
                <w:color w:val="000000"/>
                <w:sz w:val="20"/>
                <w:szCs w:val="20"/>
                <w:lang w:eastAsia="lv-LV"/>
              </w:rPr>
            </w:pPr>
          </w:p>
        </w:tc>
      </w:tr>
      <w:tr w:rsidR="00077B6F" w:rsidRPr="00324522" w:rsidTr="00051CC9">
        <w:trPr>
          <w:trHeight w:val="300"/>
        </w:trPr>
        <w:tc>
          <w:tcPr>
            <w:tcW w:w="943" w:type="dxa"/>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nil"/>
              <w:right w:val="nil"/>
            </w:tcBorders>
            <w:shd w:val="clear" w:color="auto" w:fill="auto"/>
            <w:noWrap/>
            <w:vAlign w:val="bottom"/>
            <w:hideMark/>
          </w:tcPr>
          <w:p w:rsidR="00077B6F" w:rsidRPr="00324522" w:rsidRDefault="00077B6F" w:rsidP="00B2166D">
            <w:pPr>
              <w:spacing w:after="0" w:line="240" w:lineRule="auto"/>
              <w:jc w:val="center"/>
              <w:rPr>
                <w:rFonts w:ascii="Times New Roman" w:eastAsia="Times New Roman" w:hAnsi="Times New Roman" w:cs="Times New Roman"/>
                <w:sz w:val="20"/>
                <w:szCs w:val="20"/>
                <w:lang w:eastAsia="lv-LV"/>
              </w:rPr>
            </w:pP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Nr.p.k.</w:t>
            </w:r>
          </w:p>
        </w:tc>
        <w:tc>
          <w:tcPr>
            <w:tcW w:w="5431" w:type="dxa"/>
            <w:tcBorders>
              <w:top w:val="single" w:sz="4" w:space="0" w:color="auto"/>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Adrese</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jc w:val="center"/>
              <w:rPr>
                <w:rFonts w:ascii="Times New Roman" w:eastAsia="Times New Roman" w:hAnsi="Times New Roman" w:cs="Times New Roman"/>
                <w:b/>
                <w:bCs/>
                <w:color w:val="000000"/>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1</w:t>
            </w: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w:t>
            </w: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Kaļķu iela 1,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1.2.</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Āzenes iela 12,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1.3.</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Ķīpsalas iela 6a/6b,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1.4.</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Ķīpsalas iela 6,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1.5.</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Paula Valdena iela 3/7,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1.6.</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Āzenes iela 12/4,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1.7.</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Āzenes iela 12/1,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1.8.</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Paula Valdena iela 5,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1.9.</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Lomonosova iela 1a,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1.10.</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Kronvalda bulvāris 1,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1.11.</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Visakaļu iela 36,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1.12.</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Pulka iela 3,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1.13.</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Meža iela 1/1,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1.14.</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Raņķa dambis 24,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1.15.</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Kalnciema iela 6,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1.16.</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Indriķa iela 8,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1.17.</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Laimdotas iela 2a,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1.18.</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Burtnieku iela 2a,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1.19.</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Olaines iela 4,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1.20.</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Āzenes iela 6,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1.21.</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Āzenes iela 8,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1.22.</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Sētas iela 1,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lastRenderedPageBreak/>
              <w:t>1.23.</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Daugavgrīvas iela 2,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1.24.</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Paula Valdena iela 1,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center"/>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2</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Smilšu iela 90, Daugavpils</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center"/>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3</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Kuldīgas iela 55, Ventspils</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center"/>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4</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Liedaga iela 3, Liepāja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center"/>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5</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Raunas iela 4, Cēsis</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bl>
    <w:p w:rsidR="00961EDA" w:rsidRPr="00961EDA" w:rsidRDefault="00961EDA" w:rsidP="00AB5692">
      <w:pPr>
        <w:spacing w:after="0" w:line="240" w:lineRule="auto"/>
        <w:ind w:right="793"/>
        <w:jc w:val="both"/>
        <w:rPr>
          <w:rFonts w:ascii="Times New Roman" w:eastAsia="Cambria" w:hAnsi="Times New Roman" w:cs="Times New Roman"/>
          <w:kern w:val="56"/>
        </w:rPr>
      </w:pPr>
      <w:bookmarkStart w:id="2" w:name="page3"/>
      <w:bookmarkStart w:id="3" w:name="page4"/>
      <w:bookmarkEnd w:id="2"/>
      <w:bookmarkEnd w:id="3"/>
    </w:p>
    <w:p w:rsidR="00961EDA" w:rsidRPr="00961EDA" w:rsidRDefault="00961EDA" w:rsidP="00961EDA">
      <w:pPr>
        <w:numPr>
          <w:ilvl w:val="0"/>
          <w:numId w:val="1"/>
        </w:numPr>
        <w:spacing w:after="0" w:line="240" w:lineRule="auto"/>
        <w:ind w:left="426" w:right="29" w:hanging="426"/>
        <w:jc w:val="both"/>
        <w:rPr>
          <w:rFonts w:ascii="Times New Roman" w:eastAsia="Cambria" w:hAnsi="Times New Roman" w:cs="Times New Roman"/>
          <w:kern w:val="56"/>
        </w:rPr>
      </w:pPr>
      <w:r w:rsidRPr="00961EDA">
        <w:rPr>
          <w:rFonts w:ascii="Times New Roman" w:eastAsia="Cambria" w:hAnsi="Times New Roman" w:cs="Cambria"/>
          <w:kern w:val="56"/>
        </w:rPr>
        <w:t>piekrīt Iepirkuma noteikumiem</w:t>
      </w:r>
      <w:r w:rsidRPr="00961EDA">
        <w:rPr>
          <w:rFonts w:ascii="Times New Roman" w:eastAsia="Cambria" w:hAnsi="Times New Roman" w:cs="Times New Roman"/>
          <w:kern w:val="56"/>
        </w:rPr>
        <w:t xml:space="preserve"> un apņemas ievērot Iepirkuma nolikuma prasības;</w:t>
      </w:r>
    </w:p>
    <w:p w:rsidR="00961EDA" w:rsidRPr="00961EDA" w:rsidRDefault="00961EDA" w:rsidP="00961EDA">
      <w:pPr>
        <w:numPr>
          <w:ilvl w:val="0"/>
          <w:numId w:val="1"/>
        </w:numPr>
        <w:spacing w:after="0" w:line="240" w:lineRule="auto"/>
        <w:ind w:left="426" w:right="29" w:hanging="426"/>
        <w:jc w:val="both"/>
        <w:rPr>
          <w:rFonts w:ascii="Times New Roman" w:eastAsia="Cambria" w:hAnsi="Times New Roman" w:cs="Times New Roman"/>
          <w:kern w:val="56"/>
        </w:rPr>
      </w:pPr>
      <w:r w:rsidRPr="00961EDA">
        <w:rPr>
          <w:rFonts w:ascii="Times New Roman" w:eastAsia="Cambria" w:hAnsi="Times New Roman" w:cs="Times New Roman"/>
          <w:kern w:val="56"/>
        </w:rPr>
        <w:t>apstiprina, ka visi pievienotie dokumenti veido šo pieteikumu;</w:t>
      </w:r>
    </w:p>
    <w:p w:rsidR="00961EDA" w:rsidRPr="00961EDA" w:rsidRDefault="00961EDA" w:rsidP="00961EDA">
      <w:pPr>
        <w:numPr>
          <w:ilvl w:val="0"/>
          <w:numId w:val="1"/>
        </w:numPr>
        <w:spacing w:after="0" w:line="240" w:lineRule="auto"/>
        <w:ind w:left="426" w:right="29" w:hanging="426"/>
        <w:jc w:val="both"/>
        <w:rPr>
          <w:rFonts w:ascii="Times New Roman" w:eastAsia="Cambria" w:hAnsi="Times New Roman" w:cs="Times New Roman"/>
          <w:kern w:val="56"/>
        </w:rPr>
      </w:pPr>
      <w:r w:rsidRPr="00961EDA">
        <w:rPr>
          <w:rFonts w:ascii="Times New Roman" w:eastAsia="Cambria" w:hAnsi="Times New Roman" w:cs="Times New Roman"/>
          <w:kern w:val="56"/>
        </w:rPr>
        <w:t>apliecina, ka nav ieinteresēts nevienā citā pieteikumā, kas iesniegts šajā iepirkuma procedūrā.</w:t>
      </w:r>
    </w:p>
    <w:p w:rsidR="00961EDA" w:rsidRPr="00961EDA" w:rsidRDefault="00961EDA" w:rsidP="00961EDA">
      <w:pPr>
        <w:numPr>
          <w:ilvl w:val="0"/>
          <w:numId w:val="1"/>
        </w:numPr>
        <w:spacing w:after="0" w:line="240" w:lineRule="auto"/>
        <w:ind w:left="426" w:right="29" w:hanging="426"/>
        <w:jc w:val="both"/>
        <w:rPr>
          <w:rFonts w:ascii="Times New Roman" w:eastAsia="Cambria" w:hAnsi="Times New Roman" w:cs="Times New Roman"/>
          <w:kern w:val="56"/>
        </w:rPr>
      </w:pPr>
      <w:r w:rsidRPr="00961EDA">
        <w:rPr>
          <w:rFonts w:ascii="Times New Roman" w:eastAsia="Times New Roman" w:hAnsi="Times New Roman" w:cs="Times New Roman"/>
          <w:b/>
          <w:bCs/>
          <w:lang w:eastAsia="lv-LV"/>
        </w:rPr>
        <w:t>vispārēja informācija par Kandidātu:</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678"/>
      </w:tblGrid>
      <w:tr w:rsidR="00961EDA" w:rsidRPr="00961EDA" w:rsidTr="00FA35B3">
        <w:tc>
          <w:tcPr>
            <w:tcW w:w="3827" w:type="dxa"/>
          </w:tcPr>
          <w:p w:rsidR="00961EDA" w:rsidRPr="00961EDA" w:rsidRDefault="00961EDA" w:rsidP="00961EDA">
            <w:pPr>
              <w:spacing w:after="0" w:line="240" w:lineRule="auto"/>
              <w:ind w:right="28"/>
              <w:jc w:val="both"/>
              <w:rPr>
                <w:rFonts w:ascii="Times New Roman" w:eastAsia="Cambria" w:hAnsi="Times New Roman" w:cs="Times New Roman"/>
                <w:kern w:val="56"/>
              </w:rPr>
            </w:pPr>
            <w:r w:rsidRPr="00961EDA">
              <w:rPr>
                <w:rFonts w:ascii="Times New Roman" w:eastAsia="Cambria" w:hAnsi="Times New Roman" w:cs="Times New Roman"/>
                <w:kern w:val="56"/>
              </w:rPr>
              <w:t>Kandidāta nosaukums:</w:t>
            </w:r>
          </w:p>
        </w:tc>
        <w:tc>
          <w:tcPr>
            <w:tcW w:w="4678" w:type="dxa"/>
          </w:tcPr>
          <w:p w:rsidR="00961EDA" w:rsidRPr="00961EDA" w:rsidRDefault="00961EDA" w:rsidP="00961EDA">
            <w:pPr>
              <w:spacing w:after="0" w:line="240" w:lineRule="auto"/>
              <w:ind w:right="28"/>
              <w:jc w:val="both"/>
              <w:rPr>
                <w:rFonts w:ascii="Times New Roman" w:eastAsia="Cambria" w:hAnsi="Times New Roman" w:cs="Times New Roman"/>
                <w:kern w:val="56"/>
              </w:rPr>
            </w:pPr>
          </w:p>
        </w:tc>
      </w:tr>
      <w:tr w:rsidR="00961EDA" w:rsidRPr="00961EDA" w:rsidTr="00FA35B3">
        <w:tc>
          <w:tcPr>
            <w:tcW w:w="3827" w:type="dxa"/>
          </w:tcPr>
          <w:p w:rsidR="00961EDA" w:rsidRPr="00961EDA" w:rsidRDefault="00961EDA" w:rsidP="00961EDA">
            <w:pPr>
              <w:spacing w:after="0" w:line="240" w:lineRule="auto"/>
              <w:ind w:right="29"/>
              <w:jc w:val="both"/>
              <w:rPr>
                <w:rFonts w:ascii="Times New Roman" w:eastAsia="Cambria" w:hAnsi="Times New Roman" w:cs="Times New Roman"/>
                <w:kern w:val="56"/>
              </w:rPr>
            </w:pPr>
            <w:r w:rsidRPr="00961EDA">
              <w:rPr>
                <w:rFonts w:ascii="Times New Roman" w:eastAsia="Cambria" w:hAnsi="Times New Roman" w:cs="Times New Roman"/>
                <w:kern w:val="56"/>
              </w:rPr>
              <w:t>Adrese:</w:t>
            </w:r>
          </w:p>
        </w:tc>
        <w:tc>
          <w:tcPr>
            <w:tcW w:w="4678" w:type="dxa"/>
          </w:tcPr>
          <w:p w:rsidR="00961EDA" w:rsidRPr="00961EDA" w:rsidRDefault="00961EDA" w:rsidP="00961EDA">
            <w:pPr>
              <w:spacing w:after="0" w:line="240" w:lineRule="auto"/>
              <w:ind w:right="29"/>
              <w:jc w:val="both"/>
              <w:rPr>
                <w:rFonts w:ascii="Times New Roman" w:eastAsia="Cambria" w:hAnsi="Times New Roman" w:cs="Times New Roman"/>
                <w:kern w:val="56"/>
              </w:rPr>
            </w:pPr>
          </w:p>
        </w:tc>
      </w:tr>
      <w:tr w:rsidR="00961EDA" w:rsidRPr="00961EDA" w:rsidTr="00FA35B3">
        <w:tc>
          <w:tcPr>
            <w:tcW w:w="3827" w:type="dxa"/>
          </w:tcPr>
          <w:p w:rsidR="00961EDA" w:rsidRPr="00961EDA" w:rsidRDefault="00961EDA" w:rsidP="00961EDA">
            <w:pPr>
              <w:spacing w:after="0" w:line="240" w:lineRule="auto"/>
              <w:ind w:right="28"/>
              <w:jc w:val="both"/>
              <w:rPr>
                <w:rFonts w:ascii="Times New Roman" w:eastAsia="Cambria" w:hAnsi="Times New Roman" w:cs="Times New Roman"/>
                <w:kern w:val="56"/>
              </w:rPr>
            </w:pPr>
            <w:r w:rsidRPr="00961EDA">
              <w:rPr>
                <w:rFonts w:ascii="Times New Roman" w:eastAsia="Cambria" w:hAnsi="Times New Roman" w:cs="Times New Roman"/>
                <w:kern w:val="56"/>
              </w:rPr>
              <w:t>Kontaktpersona:</w:t>
            </w:r>
          </w:p>
          <w:p w:rsidR="00961EDA" w:rsidRPr="00961EDA" w:rsidRDefault="00961EDA" w:rsidP="00961EDA">
            <w:pPr>
              <w:spacing w:after="0" w:line="240" w:lineRule="auto"/>
              <w:ind w:right="28"/>
              <w:jc w:val="both"/>
              <w:rPr>
                <w:rFonts w:ascii="Times New Roman" w:eastAsia="Cambria" w:hAnsi="Times New Roman" w:cs="Times New Roman"/>
                <w:kern w:val="56"/>
              </w:rPr>
            </w:pPr>
            <w:r w:rsidRPr="00961EDA">
              <w:rPr>
                <w:rFonts w:ascii="Times New Roman" w:eastAsia="Cambria" w:hAnsi="Times New Roman" w:cs="Times New Roman"/>
                <w:kern w:val="56"/>
              </w:rPr>
              <w:t>(Vārds, Uzvārds, amats)</w:t>
            </w:r>
          </w:p>
        </w:tc>
        <w:tc>
          <w:tcPr>
            <w:tcW w:w="4678" w:type="dxa"/>
          </w:tcPr>
          <w:p w:rsidR="00961EDA" w:rsidRPr="00961EDA" w:rsidRDefault="00961EDA" w:rsidP="00961EDA">
            <w:pPr>
              <w:spacing w:after="0" w:line="240" w:lineRule="auto"/>
              <w:ind w:right="28"/>
              <w:jc w:val="both"/>
              <w:rPr>
                <w:rFonts w:ascii="Times New Roman" w:eastAsia="Cambria" w:hAnsi="Times New Roman" w:cs="Times New Roman"/>
                <w:kern w:val="56"/>
              </w:rPr>
            </w:pPr>
          </w:p>
        </w:tc>
      </w:tr>
      <w:tr w:rsidR="00961EDA" w:rsidRPr="00961EDA" w:rsidTr="00FA35B3">
        <w:tc>
          <w:tcPr>
            <w:tcW w:w="3827" w:type="dxa"/>
          </w:tcPr>
          <w:p w:rsidR="00961EDA" w:rsidRPr="00961EDA" w:rsidRDefault="00961EDA" w:rsidP="00961EDA">
            <w:pPr>
              <w:spacing w:after="0" w:line="240" w:lineRule="auto"/>
              <w:ind w:right="29"/>
              <w:jc w:val="both"/>
              <w:rPr>
                <w:rFonts w:ascii="Times New Roman" w:eastAsia="Cambria" w:hAnsi="Times New Roman" w:cs="Times New Roman"/>
                <w:kern w:val="56"/>
              </w:rPr>
            </w:pPr>
            <w:r w:rsidRPr="00961EDA">
              <w:rPr>
                <w:rFonts w:ascii="Times New Roman" w:eastAsia="Cambria" w:hAnsi="Times New Roman" w:cs="Times New Roman"/>
                <w:kern w:val="56"/>
              </w:rPr>
              <w:t>Tālrunis:</w:t>
            </w:r>
          </w:p>
        </w:tc>
        <w:tc>
          <w:tcPr>
            <w:tcW w:w="4678" w:type="dxa"/>
          </w:tcPr>
          <w:p w:rsidR="00961EDA" w:rsidRPr="00961EDA" w:rsidRDefault="00961EDA" w:rsidP="00961EDA">
            <w:pPr>
              <w:spacing w:after="0" w:line="240" w:lineRule="auto"/>
              <w:ind w:right="29"/>
              <w:jc w:val="both"/>
              <w:rPr>
                <w:rFonts w:ascii="Times New Roman" w:eastAsia="Cambria" w:hAnsi="Times New Roman" w:cs="Times New Roman"/>
                <w:kern w:val="56"/>
              </w:rPr>
            </w:pPr>
          </w:p>
        </w:tc>
      </w:tr>
      <w:tr w:rsidR="00961EDA" w:rsidRPr="00961EDA" w:rsidTr="00FA35B3">
        <w:tc>
          <w:tcPr>
            <w:tcW w:w="3827" w:type="dxa"/>
          </w:tcPr>
          <w:p w:rsidR="00961EDA" w:rsidRPr="00961EDA" w:rsidRDefault="00961EDA" w:rsidP="00961EDA">
            <w:pPr>
              <w:spacing w:after="0" w:line="240" w:lineRule="auto"/>
              <w:ind w:right="29"/>
              <w:jc w:val="both"/>
              <w:rPr>
                <w:rFonts w:ascii="Times New Roman" w:eastAsia="Cambria" w:hAnsi="Times New Roman" w:cs="Times New Roman"/>
                <w:kern w:val="56"/>
              </w:rPr>
            </w:pPr>
            <w:r w:rsidRPr="00961EDA">
              <w:rPr>
                <w:rFonts w:ascii="Times New Roman" w:eastAsia="Cambria" w:hAnsi="Times New Roman" w:cs="Times New Roman"/>
                <w:kern w:val="56"/>
              </w:rPr>
              <w:t>Elektroniskais pasts:</w:t>
            </w:r>
          </w:p>
        </w:tc>
        <w:tc>
          <w:tcPr>
            <w:tcW w:w="4678" w:type="dxa"/>
          </w:tcPr>
          <w:p w:rsidR="00961EDA" w:rsidRPr="00961EDA" w:rsidRDefault="00961EDA" w:rsidP="00961EDA">
            <w:pPr>
              <w:spacing w:after="0" w:line="240" w:lineRule="auto"/>
              <w:ind w:right="29"/>
              <w:jc w:val="both"/>
              <w:rPr>
                <w:rFonts w:ascii="Times New Roman" w:eastAsia="Cambria" w:hAnsi="Times New Roman" w:cs="Times New Roman"/>
                <w:kern w:val="56"/>
              </w:rPr>
            </w:pPr>
          </w:p>
        </w:tc>
      </w:tr>
      <w:tr w:rsidR="00961EDA" w:rsidRPr="00961EDA" w:rsidTr="00FA35B3">
        <w:tc>
          <w:tcPr>
            <w:tcW w:w="3827" w:type="dxa"/>
          </w:tcPr>
          <w:p w:rsidR="00961EDA" w:rsidRPr="00961EDA" w:rsidRDefault="00961EDA" w:rsidP="00961EDA">
            <w:pPr>
              <w:spacing w:after="0" w:line="240" w:lineRule="auto"/>
              <w:ind w:right="29"/>
              <w:jc w:val="both"/>
              <w:rPr>
                <w:rFonts w:ascii="Times New Roman" w:eastAsia="Cambria" w:hAnsi="Times New Roman" w:cs="Times New Roman"/>
                <w:kern w:val="56"/>
              </w:rPr>
            </w:pPr>
            <w:r w:rsidRPr="00961EDA">
              <w:rPr>
                <w:rFonts w:ascii="Times New Roman" w:eastAsia="Cambria" w:hAnsi="Times New Roman" w:cs="Times New Roman"/>
                <w:kern w:val="56"/>
              </w:rPr>
              <w:t>Reģistrācijas numurs:</w:t>
            </w:r>
          </w:p>
        </w:tc>
        <w:tc>
          <w:tcPr>
            <w:tcW w:w="4678" w:type="dxa"/>
          </w:tcPr>
          <w:p w:rsidR="00961EDA" w:rsidRPr="00961EDA" w:rsidRDefault="00961EDA" w:rsidP="00961EDA">
            <w:pPr>
              <w:spacing w:after="0" w:line="240" w:lineRule="auto"/>
              <w:ind w:right="29"/>
              <w:jc w:val="both"/>
              <w:rPr>
                <w:rFonts w:ascii="Times New Roman" w:eastAsia="Cambria" w:hAnsi="Times New Roman" w:cs="Times New Roman"/>
                <w:kern w:val="56"/>
              </w:rPr>
            </w:pPr>
          </w:p>
        </w:tc>
      </w:tr>
      <w:tr w:rsidR="00961EDA" w:rsidRPr="00961EDA" w:rsidTr="00FA35B3">
        <w:tc>
          <w:tcPr>
            <w:tcW w:w="3827" w:type="dxa"/>
          </w:tcPr>
          <w:p w:rsidR="00961EDA" w:rsidRPr="00961EDA" w:rsidRDefault="00961EDA" w:rsidP="00961EDA">
            <w:pPr>
              <w:spacing w:after="0" w:line="240" w:lineRule="auto"/>
              <w:ind w:right="29"/>
              <w:jc w:val="both"/>
              <w:rPr>
                <w:rFonts w:ascii="Times New Roman" w:eastAsia="Cambria" w:hAnsi="Times New Roman" w:cs="Times New Roman"/>
                <w:kern w:val="56"/>
              </w:rPr>
            </w:pPr>
            <w:r w:rsidRPr="00961EDA">
              <w:rPr>
                <w:rFonts w:ascii="Times New Roman" w:eastAsia="Cambria" w:hAnsi="Times New Roman" w:cs="Times New Roman"/>
                <w:kern w:val="56"/>
              </w:rPr>
              <w:t>Nodokļu maksātāja reģistrācijas Nr.:</w:t>
            </w:r>
          </w:p>
        </w:tc>
        <w:tc>
          <w:tcPr>
            <w:tcW w:w="4678" w:type="dxa"/>
          </w:tcPr>
          <w:p w:rsidR="00961EDA" w:rsidRPr="00961EDA" w:rsidRDefault="00961EDA" w:rsidP="00961EDA">
            <w:pPr>
              <w:spacing w:after="0" w:line="240" w:lineRule="auto"/>
              <w:ind w:right="29"/>
              <w:jc w:val="both"/>
              <w:rPr>
                <w:rFonts w:ascii="Times New Roman" w:eastAsia="Cambria" w:hAnsi="Times New Roman" w:cs="Times New Roman"/>
                <w:kern w:val="56"/>
              </w:rPr>
            </w:pPr>
          </w:p>
        </w:tc>
      </w:tr>
      <w:tr w:rsidR="00961EDA" w:rsidRPr="00961EDA" w:rsidTr="00FA35B3">
        <w:tc>
          <w:tcPr>
            <w:tcW w:w="3827" w:type="dxa"/>
          </w:tcPr>
          <w:p w:rsidR="00961EDA" w:rsidRPr="00961EDA" w:rsidRDefault="00961EDA" w:rsidP="00961EDA">
            <w:pPr>
              <w:spacing w:after="0" w:line="240" w:lineRule="auto"/>
              <w:ind w:right="28"/>
              <w:jc w:val="both"/>
              <w:rPr>
                <w:rFonts w:ascii="Times New Roman" w:eastAsia="Cambria" w:hAnsi="Times New Roman" w:cs="Times New Roman"/>
                <w:kern w:val="56"/>
              </w:rPr>
            </w:pPr>
            <w:r w:rsidRPr="00961EDA">
              <w:rPr>
                <w:rFonts w:ascii="Times New Roman" w:eastAsia="Cambria" w:hAnsi="Times New Roman" w:cs="Times New Roman"/>
                <w:kern w:val="56"/>
              </w:rPr>
              <w:t>Bankas nosaukums:</w:t>
            </w:r>
          </w:p>
        </w:tc>
        <w:tc>
          <w:tcPr>
            <w:tcW w:w="4678" w:type="dxa"/>
          </w:tcPr>
          <w:p w:rsidR="00961EDA" w:rsidRPr="00961EDA" w:rsidRDefault="00961EDA" w:rsidP="00961EDA">
            <w:pPr>
              <w:spacing w:after="0" w:line="240" w:lineRule="auto"/>
              <w:ind w:right="29"/>
              <w:jc w:val="both"/>
              <w:rPr>
                <w:rFonts w:ascii="Times New Roman" w:eastAsia="Cambria" w:hAnsi="Times New Roman" w:cs="Times New Roman"/>
                <w:kern w:val="56"/>
              </w:rPr>
            </w:pPr>
          </w:p>
        </w:tc>
      </w:tr>
      <w:tr w:rsidR="00961EDA" w:rsidRPr="00961EDA" w:rsidTr="00FA35B3">
        <w:tc>
          <w:tcPr>
            <w:tcW w:w="3827" w:type="dxa"/>
          </w:tcPr>
          <w:p w:rsidR="00961EDA" w:rsidRPr="00961EDA" w:rsidRDefault="00961EDA" w:rsidP="00961EDA">
            <w:pPr>
              <w:spacing w:after="0" w:line="240" w:lineRule="auto"/>
              <w:ind w:right="28"/>
              <w:jc w:val="both"/>
              <w:rPr>
                <w:rFonts w:ascii="Times New Roman" w:eastAsia="Cambria" w:hAnsi="Times New Roman" w:cs="Times New Roman"/>
                <w:kern w:val="56"/>
              </w:rPr>
            </w:pPr>
            <w:r w:rsidRPr="00961EDA">
              <w:rPr>
                <w:rFonts w:ascii="Times New Roman" w:eastAsia="Cambria" w:hAnsi="Times New Roman" w:cs="Times New Roman"/>
                <w:kern w:val="56"/>
              </w:rPr>
              <w:t>Kods:</w:t>
            </w:r>
          </w:p>
        </w:tc>
        <w:tc>
          <w:tcPr>
            <w:tcW w:w="4678" w:type="dxa"/>
          </w:tcPr>
          <w:p w:rsidR="00961EDA" w:rsidRPr="00961EDA" w:rsidRDefault="00961EDA" w:rsidP="00961EDA">
            <w:pPr>
              <w:spacing w:after="0" w:line="240" w:lineRule="auto"/>
              <w:ind w:right="29"/>
              <w:jc w:val="both"/>
              <w:rPr>
                <w:rFonts w:ascii="Times New Roman" w:eastAsia="Cambria" w:hAnsi="Times New Roman" w:cs="Times New Roman"/>
                <w:kern w:val="56"/>
              </w:rPr>
            </w:pPr>
          </w:p>
        </w:tc>
      </w:tr>
      <w:tr w:rsidR="00961EDA" w:rsidRPr="00961EDA" w:rsidTr="00FA35B3">
        <w:tc>
          <w:tcPr>
            <w:tcW w:w="3827" w:type="dxa"/>
          </w:tcPr>
          <w:p w:rsidR="00961EDA" w:rsidRPr="00961EDA" w:rsidRDefault="00961EDA" w:rsidP="00961EDA">
            <w:pPr>
              <w:spacing w:after="0" w:line="240" w:lineRule="auto"/>
              <w:ind w:right="28"/>
              <w:jc w:val="both"/>
              <w:rPr>
                <w:rFonts w:ascii="Times New Roman" w:eastAsia="Cambria" w:hAnsi="Times New Roman" w:cs="Times New Roman"/>
                <w:kern w:val="56"/>
              </w:rPr>
            </w:pPr>
            <w:r w:rsidRPr="00961EDA">
              <w:rPr>
                <w:rFonts w:ascii="Times New Roman" w:eastAsia="Cambria" w:hAnsi="Times New Roman" w:cs="Times New Roman"/>
                <w:kern w:val="56"/>
              </w:rPr>
              <w:t>Konta numurs:</w:t>
            </w:r>
          </w:p>
        </w:tc>
        <w:tc>
          <w:tcPr>
            <w:tcW w:w="4678" w:type="dxa"/>
          </w:tcPr>
          <w:p w:rsidR="00961EDA" w:rsidRPr="00961EDA" w:rsidRDefault="00961EDA" w:rsidP="00961EDA">
            <w:pPr>
              <w:spacing w:after="0" w:line="240" w:lineRule="auto"/>
              <w:ind w:right="29"/>
              <w:jc w:val="both"/>
              <w:rPr>
                <w:rFonts w:ascii="Times New Roman" w:eastAsia="Cambria" w:hAnsi="Times New Roman" w:cs="Times New Roman"/>
                <w:kern w:val="56"/>
              </w:rPr>
            </w:pPr>
          </w:p>
        </w:tc>
      </w:tr>
    </w:tbl>
    <w:p w:rsidR="00961EDA" w:rsidRPr="00961EDA" w:rsidRDefault="00961EDA" w:rsidP="00961EDA">
      <w:pPr>
        <w:widowControl w:val="0"/>
        <w:autoSpaceDE w:val="0"/>
        <w:autoSpaceDN w:val="0"/>
        <w:adjustRightInd w:val="0"/>
        <w:spacing w:after="0" w:line="240" w:lineRule="auto"/>
        <w:ind w:right="28"/>
        <w:jc w:val="both"/>
        <w:rPr>
          <w:rFonts w:ascii="Times New Roman" w:eastAsia="Cambria" w:hAnsi="Times New Roman" w:cs="Times New Roman"/>
        </w:rPr>
      </w:pPr>
    </w:p>
    <w:p w:rsidR="00961EDA" w:rsidRPr="00961EDA" w:rsidRDefault="00961EDA" w:rsidP="00961EDA">
      <w:pPr>
        <w:numPr>
          <w:ilvl w:val="0"/>
          <w:numId w:val="1"/>
        </w:numPr>
        <w:suppressAutoHyphens/>
        <w:spacing w:after="0" w:line="240" w:lineRule="auto"/>
        <w:ind w:left="426" w:right="29" w:hanging="426"/>
        <w:jc w:val="both"/>
        <w:rPr>
          <w:rFonts w:ascii="Times New Roman" w:eastAsia="Times New Roman" w:hAnsi="Times New Roman" w:cs="Times New Roman"/>
          <w:lang w:eastAsia="ar-SA"/>
        </w:rPr>
      </w:pPr>
      <w:r w:rsidRPr="00961EDA">
        <w:rPr>
          <w:rFonts w:ascii="Times New Roman" w:eastAsia="Times New Roman" w:hAnsi="Times New Roman" w:cs="Times New Roman"/>
          <w:lang w:eastAsia="ar-SA"/>
        </w:rPr>
        <w:t>Informācija par to, vai piedāvājumu iesniegušā Kandidāta (personu grupas gadījumā – katra dalībnieka)  uzņēmums atbilst mazā vai vidējā uzņēmuma statusam atbilstoši EK komisijas 2003. gada 6. 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932"/>
        <w:gridCol w:w="2932"/>
      </w:tblGrid>
      <w:tr w:rsidR="00961EDA" w:rsidRPr="00961EDA" w:rsidTr="00FA35B3">
        <w:tc>
          <w:tcPr>
            <w:tcW w:w="2910" w:type="dxa"/>
            <w:shd w:val="clear" w:color="auto" w:fill="auto"/>
          </w:tcPr>
          <w:p w:rsidR="00961EDA" w:rsidRPr="00961EDA" w:rsidRDefault="00961EDA" w:rsidP="00961EDA">
            <w:pPr>
              <w:tabs>
                <w:tab w:val="num" w:pos="900"/>
              </w:tabs>
              <w:suppressAutoHyphens/>
              <w:spacing w:after="0" w:line="240" w:lineRule="auto"/>
              <w:ind w:right="28"/>
              <w:jc w:val="center"/>
              <w:rPr>
                <w:rFonts w:ascii="Times New Roman" w:eastAsia="Times New Roman" w:hAnsi="Times New Roman" w:cs="Times New Roman"/>
                <w:b/>
                <w:sz w:val="20"/>
                <w:szCs w:val="20"/>
                <w:lang w:eastAsia="ar-SA"/>
              </w:rPr>
            </w:pPr>
          </w:p>
          <w:p w:rsidR="00961EDA" w:rsidRPr="00961EDA" w:rsidRDefault="00961EDA" w:rsidP="00961EDA">
            <w:pPr>
              <w:tabs>
                <w:tab w:val="num" w:pos="900"/>
              </w:tabs>
              <w:suppressAutoHyphens/>
              <w:spacing w:after="0" w:line="240" w:lineRule="auto"/>
              <w:ind w:right="28"/>
              <w:jc w:val="center"/>
              <w:rPr>
                <w:rFonts w:ascii="Times New Roman" w:eastAsia="Times New Roman" w:hAnsi="Times New Roman" w:cs="Times New Roman"/>
                <w:b/>
                <w:sz w:val="20"/>
                <w:szCs w:val="20"/>
                <w:lang w:val="en-GB" w:eastAsia="ar-SA"/>
              </w:rPr>
            </w:pPr>
            <w:r w:rsidRPr="00961EDA">
              <w:rPr>
                <w:rFonts w:ascii="Times New Roman" w:eastAsia="Times New Roman" w:hAnsi="Times New Roman" w:cs="Times New Roman"/>
                <w:b/>
                <w:sz w:val="20"/>
                <w:szCs w:val="20"/>
                <w:lang w:val="en-GB" w:eastAsia="ar-SA"/>
              </w:rPr>
              <w:t>Persona</w:t>
            </w:r>
          </w:p>
          <w:p w:rsidR="00961EDA" w:rsidRPr="00961EDA" w:rsidRDefault="00961EDA" w:rsidP="00961EDA">
            <w:pPr>
              <w:tabs>
                <w:tab w:val="num" w:pos="900"/>
              </w:tabs>
              <w:suppressAutoHyphens/>
              <w:spacing w:after="0" w:line="240" w:lineRule="auto"/>
              <w:ind w:right="28"/>
              <w:jc w:val="center"/>
              <w:rPr>
                <w:rFonts w:ascii="Times New Roman" w:eastAsia="Times New Roman" w:hAnsi="Times New Roman" w:cs="Times New Roman"/>
                <w:i/>
                <w:sz w:val="20"/>
                <w:szCs w:val="20"/>
                <w:lang w:val="en-GB" w:eastAsia="ar-SA"/>
              </w:rPr>
            </w:pPr>
            <w:r w:rsidRPr="00961EDA">
              <w:rPr>
                <w:rFonts w:ascii="Times New Roman" w:eastAsia="Times New Roman" w:hAnsi="Times New Roman" w:cs="Times New Roman"/>
                <w:i/>
                <w:sz w:val="20"/>
                <w:szCs w:val="20"/>
                <w:lang w:val="en-GB" w:eastAsia="ar-SA"/>
              </w:rPr>
              <w:t>(norādīt nosaukumu un lomu (pretendents, personu apvienības dalībnieks) iepirkumā)</w:t>
            </w:r>
          </w:p>
        </w:tc>
        <w:tc>
          <w:tcPr>
            <w:tcW w:w="2932" w:type="dxa"/>
            <w:shd w:val="clear" w:color="auto" w:fill="auto"/>
          </w:tcPr>
          <w:p w:rsidR="00961EDA" w:rsidRPr="00961EDA" w:rsidRDefault="00961EDA" w:rsidP="00961EDA">
            <w:pPr>
              <w:tabs>
                <w:tab w:val="num" w:pos="900"/>
              </w:tabs>
              <w:suppressAutoHyphens/>
              <w:spacing w:after="0" w:line="240" w:lineRule="auto"/>
              <w:ind w:right="28"/>
              <w:jc w:val="center"/>
              <w:rPr>
                <w:rFonts w:ascii="Times New Roman" w:eastAsia="Times New Roman" w:hAnsi="Times New Roman" w:cs="Times New Roman"/>
                <w:b/>
                <w:sz w:val="20"/>
                <w:szCs w:val="20"/>
                <w:lang w:val="en-GB" w:eastAsia="ar-SA"/>
              </w:rPr>
            </w:pPr>
            <w:r w:rsidRPr="00961EDA">
              <w:rPr>
                <w:rFonts w:ascii="Times New Roman" w:eastAsia="Times New Roman" w:hAnsi="Times New Roman" w:cs="Times New Roman"/>
                <w:b/>
                <w:sz w:val="20"/>
                <w:szCs w:val="20"/>
                <w:lang w:val="en-GB" w:eastAsia="ar-SA"/>
              </w:rPr>
              <w:t xml:space="preserve">Mazais uzņēmums </w:t>
            </w:r>
          </w:p>
          <w:p w:rsidR="00961EDA" w:rsidRPr="00961EDA" w:rsidRDefault="00961EDA" w:rsidP="00961EDA">
            <w:pPr>
              <w:tabs>
                <w:tab w:val="num" w:pos="900"/>
              </w:tabs>
              <w:suppressAutoHyphens/>
              <w:spacing w:after="0" w:line="240" w:lineRule="auto"/>
              <w:ind w:right="28"/>
              <w:jc w:val="center"/>
              <w:rPr>
                <w:rFonts w:ascii="Times New Roman" w:eastAsia="Times New Roman" w:hAnsi="Times New Roman" w:cs="Times New Roman"/>
                <w:i/>
                <w:sz w:val="20"/>
                <w:szCs w:val="20"/>
                <w:lang w:val="en-GB" w:eastAsia="ar-SA"/>
              </w:rPr>
            </w:pPr>
            <w:r w:rsidRPr="00961EDA">
              <w:rPr>
                <w:rFonts w:ascii="Times New Roman" w:eastAsia="Times New Roman" w:hAnsi="Times New Roman" w:cs="Times New Roman"/>
                <w:i/>
                <w:sz w:val="20"/>
                <w:szCs w:val="20"/>
                <w:lang w:val="en-GB" w:eastAsia="ar-SA"/>
              </w:rPr>
              <w:t>ir uzņēmums, kurā nodarbinātas mazāk nekā 50 personas un kura gada apgrozījums un/vai gada bilance kopā nepārsniedz 10 miljonus euro</w:t>
            </w:r>
          </w:p>
          <w:p w:rsidR="00961EDA" w:rsidRPr="00961EDA" w:rsidRDefault="00961EDA" w:rsidP="00961EDA">
            <w:pPr>
              <w:tabs>
                <w:tab w:val="num" w:pos="900"/>
              </w:tabs>
              <w:suppressAutoHyphens/>
              <w:spacing w:after="0" w:line="240" w:lineRule="auto"/>
              <w:ind w:right="28"/>
              <w:jc w:val="center"/>
              <w:rPr>
                <w:rFonts w:ascii="Times New Roman" w:eastAsia="Times New Roman" w:hAnsi="Times New Roman" w:cs="Times New Roman"/>
                <w:b/>
                <w:sz w:val="20"/>
                <w:szCs w:val="20"/>
                <w:lang w:val="en-GB" w:eastAsia="ar-SA"/>
              </w:rPr>
            </w:pPr>
            <w:r w:rsidRPr="00961EDA">
              <w:rPr>
                <w:rFonts w:ascii="Times New Roman" w:eastAsia="Times New Roman" w:hAnsi="Times New Roman" w:cs="Times New Roman"/>
                <w:b/>
                <w:sz w:val="20"/>
                <w:szCs w:val="20"/>
                <w:lang w:val="en-GB" w:eastAsia="ar-SA"/>
              </w:rPr>
              <w:t>(atbilst/neatbilst)</w:t>
            </w:r>
          </w:p>
        </w:tc>
        <w:tc>
          <w:tcPr>
            <w:tcW w:w="2932" w:type="dxa"/>
            <w:shd w:val="clear" w:color="auto" w:fill="auto"/>
          </w:tcPr>
          <w:p w:rsidR="00961EDA" w:rsidRPr="00961EDA" w:rsidRDefault="00961EDA" w:rsidP="00961EDA">
            <w:pPr>
              <w:tabs>
                <w:tab w:val="num" w:pos="900"/>
              </w:tabs>
              <w:suppressAutoHyphens/>
              <w:spacing w:after="0" w:line="240" w:lineRule="auto"/>
              <w:ind w:right="28"/>
              <w:jc w:val="center"/>
              <w:rPr>
                <w:rFonts w:ascii="Times New Roman" w:eastAsia="Times New Roman" w:hAnsi="Times New Roman" w:cs="Times New Roman"/>
                <w:b/>
                <w:sz w:val="20"/>
                <w:szCs w:val="20"/>
                <w:lang w:val="en-GB" w:eastAsia="ar-SA"/>
              </w:rPr>
            </w:pPr>
            <w:r w:rsidRPr="00961EDA">
              <w:rPr>
                <w:rFonts w:ascii="Times New Roman" w:eastAsia="Times New Roman" w:hAnsi="Times New Roman" w:cs="Times New Roman"/>
                <w:b/>
                <w:sz w:val="20"/>
                <w:szCs w:val="20"/>
                <w:lang w:val="en-GB" w:eastAsia="ar-SA"/>
              </w:rPr>
              <w:t xml:space="preserve">Vidējais uzņēmums </w:t>
            </w:r>
          </w:p>
          <w:p w:rsidR="00961EDA" w:rsidRPr="00961EDA" w:rsidRDefault="00961EDA" w:rsidP="00961EDA">
            <w:pPr>
              <w:tabs>
                <w:tab w:val="num" w:pos="900"/>
              </w:tabs>
              <w:suppressAutoHyphens/>
              <w:spacing w:after="0" w:line="240" w:lineRule="auto"/>
              <w:ind w:right="28"/>
              <w:jc w:val="center"/>
              <w:rPr>
                <w:rFonts w:ascii="Times New Roman" w:eastAsia="Times New Roman" w:hAnsi="Times New Roman" w:cs="Times New Roman"/>
                <w:i/>
                <w:sz w:val="20"/>
                <w:szCs w:val="20"/>
                <w:lang w:val="en-GB" w:eastAsia="ar-SA"/>
              </w:rPr>
            </w:pPr>
            <w:r w:rsidRPr="00961EDA">
              <w:rPr>
                <w:rFonts w:ascii="Times New Roman" w:eastAsia="Times New Roman" w:hAnsi="Times New Roman" w:cs="Times New Roman"/>
                <w:i/>
                <w:sz w:val="20"/>
                <w:szCs w:val="20"/>
                <w:lang w:val="en-GB" w:eastAsia="ar-SA"/>
              </w:rPr>
              <w:t>ir uzņēmums, kas nav mazais uzņēmums, un kurā nodarbinātas mazāk nekā 250 personas un kura gada apgrozījums nepārsniedz 50 miljonus euro, un/vai, kura gada bilance kopā nepārsniedz 43 miljonus euro</w:t>
            </w:r>
          </w:p>
          <w:p w:rsidR="00961EDA" w:rsidRPr="00961EDA" w:rsidRDefault="00961EDA" w:rsidP="00961EDA">
            <w:pPr>
              <w:tabs>
                <w:tab w:val="num" w:pos="900"/>
              </w:tabs>
              <w:suppressAutoHyphens/>
              <w:spacing w:after="0" w:line="240" w:lineRule="auto"/>
              <w:ind w:right="28"/>
              <w:jc w:val="center"/>
              <w:rPr>
                <w:rFonts w:ascii="Times New Roman" w:eastAsia="Times New Roman" w:hAnsi="Times New Roman" w:cs="Times New Roman"/>
                <w:b/>
                <w:sz w:val="20"/>
                <w:szCs w:val="20"/>
                <w:lang w:val="en-GB" w:eastAsia="ar-SA"/>
              </w:rPr>
            </w:pPr>
            <w:r w:rsidRPr="00961EDA">
              <w:rPr>
                <w:rFonts w:ascii="Times New Roman" w:eastAsia="Times New Roman" w:hAnsi="Times New Roman" w:cs="Times New Roman"/>
                <w:b/>
                <w:sz w:val="20"/>
                <w:szCs w:val="20"/>
                <w:lang w:val="en-GB" w:eastAsia="ar-SA"/>
              </w:rPr>
              <w:lastRenderedPageBreak/>
              <w:t>(atbilst/neatbilst)</w:t>
            </w:r>
          </w:p>
        </w:tc>
      </w:tr>
      <w:tr w:rsidR="00961EDA" w:rsidRPr="00961EDA" w:rsidTr="00FA35B3">
        <w:tc>
          <w:tcPr>
            <w:tcW w:w="2910" w:type="dxa"/>
            <w:shd w:val="clear" w:color="auto" w:fill="auto"/>
          </w:tcPr>
          <w:p w:rsidR="00961EDA" w:rsidRPr="00961EDA" w:rsidRDefault="00961EDA" w:rsidP="00961EDA">
            <w:pPr>
              <w:tabs>
                <w:tab w:val="num" w:pos="900"/>
              </w:tabs>
              <w:suppressAutoHyphens/>
              <w:spacing w:after="0" w:line="240" w:lineRule="auto"/>
              <w:ind w:right="28"/>
              <w:jc w:val="center"/>
              <w:rPr>
                <w:rFonts w:ascii="Times New Roman" w:eastAsia="Times New Roman" w:hAnsi="Times New Roman" w:cs="Times New Roman"/>
                <w:b/>
                <w:sz w:val="20"/>
                <w:szCs w:val="20"/>
                <w:lang w:val="en-GB" w:eastAsia="ar-SA"/>
              </w:rPr>
            </w:pPr>
            <w:r w:rsidRPr="00961EDA">
              <w:rPr>
                <w:rFonts w:ascii="Times New Roman" w:eastAsia="Times New Roman" w:hAnsi="Times New Roman" w:cs="Times New Roman"/>
                <w:b/>
                <w:sz w:val="20"/>
                <w:szCs w:val="20"/>
                <w:lang w:val="en-GB" w:eastAsia="ar-SA"/>
              </w:rPr>
              <w:lastRenderedPageBreak/>
              <w:t>&lt;  &gt;</w:t>
            </w:r>
          </w:p>
        </w:tc>
        <w:tc>
          <w:tcPr>
            <w:tcW w:w="2932" w:type="dxa"/>
            <w:shd w:val="clear" w:color="auto" w:fill="auto"/>
          </w:tcPr>
          <w:p w:rsidR="00961EDA" w:rsidRPr="00961EDA" w:rsidRDefault="00961EDA" w:rsidP="00961EDA">
            <w:pPr>
              <w:tabs>
                <w:tab w:val="num" w:pos="900"/>
              </w:tabs>
              <w:suppressAutoHyphens/>
              <w:spacing w:after="0" w:line="240" w:lineRule="auto"/>
              <w:ind w:right="28"/>
              <w:jc w:val="center"/>
              <w:rPr>
                <w:rFonts w:ascii="Times New Roman" w:eastAsia="Times New Roman" w:hAnsi="Times New Roman" w:cs="Times New Roman"/>
                <w:b/>
                <w:sz w:val="20"/>
                <w:szCs w:val="20"/>
                <w:lang w:val="en-GB" w:eastAsia="ar-SA"/>
              </w:rPr>
            </w:pPr>
            <w:r w:rsidRPr="00961EDA">
              <w:rPr>
                <w:rFonts w:ascii="Times New Roman" w:eastAsia="Times New Roman" w:hAnsi="Times New Roman" w:cs="Times New Roman"/>
                <w:b/>
                <w:sz w:val="20"/>
                <w:szCs w:val="20"/>
                <w:lang w:val="en-GB" w:eastAsia="ar-SA"/>
              </w:rPr>
              <w:t>&lt;  &gt;</w:t>
            </w:r>
          </w:p>
        </w:tc>
        <w:tc>
          <w:tcPr>
            <w:tcW w:w="2932" w:type="dxa"/>
            <w:shd w:val="clear" w:color="auto" w:fill="auto"/>
          </w:tcPr>
          <w:p w:rsidR="00961EDA" w:rsidRPr="00961EDA" w:rsidRDefault="00961EDA" w:rsidP="00961EDA">
            <w:pPr>
              <w:tabs>
                <w:tab w:val="num" w:pos="900"/>
              </w:tabs>
              <w:suppressAutoHyphens/>
              <w:spacing w:after="0" w:line="240" w:lineRule="auto"/>
              <w:ind w:right="28"/>
              <w:jc w:val="center"/>
              <w:rPr>
                <w:rFonts w:ascii="Times New Roman" w:eastAsia="Times New Roman" w:hAnsi="Times New Roman" w:cs="Times New Roman"/>
                <w:b/>
                <w:sz w:val="20"/>
                <w:szCs w:val="20"/>
                <w:lang w:val="en-GB" w:eastAsia="ar-SA"/>
              </w:rPr>
            </w:pPr>
            <w:r w:rsidRPr="00961EDA">
              <w:rPr>
                <w:rFonts w:ascii="Times New Roman" w:eastAsia="Times New Roman" w:hAnsi="Times New Roman" w:cs="Times New Roman"/>
                <w:b/>
                <w:sz w:val="20"/>
                <w:szCs w:val="20"/>
                <w:lang w:val="en-GB" w:eastAsia="ar-SA"/>
              </w:rPr>
              <w:t>&lt;  &gt;</w:t>
            </w:r>
          </w:p>
          <w:p w:rsidR="00961EDA" w:rsidRPr="00961EDA" w:rsidRDefault="00961EDA" w:rsidP="00961EDA">
            <w:pPr>
              <w:tabs>
                <w:tab w:val="num" w:pos="900"/>
              </w:tabs>
              <w:suppressAutoHyphens/>
              <w:spacing w:after="0" w:line="240" w:lineRule="auto"/>
              <w:ind w:right="28"/>
              <w:jc w:val="center"/>
              <w:rPr>
                <w:rFonts w:ascii="Times New Roman" w:eastAsia="Times New Roman" w:hAnsi="Times New Roman" w:cs="Times New Roman"/>
                <w:b/>
                <w:sz w:val="20"/>
                <w:szCs w:val="20"/>
                <w:lang w:val="en-GB" w:eastAsia="ar-SA"/>
              </w:rPr>
            </w:pPr>
          </w:p>
        </w:tc>
      </w:tr>
    </w:tbl>
    <w:p w:rsidR="00961EDA" w:rsidRPr="00961EDA" w:rsidRDefault="00961EDA" w:rsidP="00961EDA">
      <w:pPr>
        <w:suppressAutoHyphens/>
        <w:spacing w:after="0" w:line="240" w:lineRule="auto"/>
        <w:ind w:right="28"/>
        <w:jc w:val="both"/>
        <w:rPr>
          <w:rFonts w:ascii="Times New Roman" w:eastAsia="Times New Roman" w:hAnsi="Times New Roman" w:cs="Times New Roman"/>
          <w:lang w:eastAsia="ar-SA"/>
        </w:rPr>
      </w:pPr>
    </w:p>
    <w:p w:rsidR="00961EDA" w:rsidRPr="00961EDA" w:rsidRDefault="00961EDA" w:rsidP="00961EDA">
      <w:pPr>
        <w:suppressAutoHyphens/>
        <w:spacing w:after="0" w:line="240" w:lineRule="auto"/>
        <w:ind w:right="28"/>
        <w:jc w:val="both"/>
        <w:rPr>
          <w:rFonts w:ascii="Times New Roman" w:eastAsia="Times New Roman" w:hAnsi="Times New Roman" w:cs="Times New Roman"/>
          <w:lang w:eastAsia="ar-SA"/>
        </w:rPr>
      </w:pPr>
      <w:r w:rsidRPr="00961EDA">
        <w:rPr>
          <w:rFonts w:ascii="Times New Roman" w:eastAsia="Times New Roman" w:hAnsi="Times New Roman" w:cs="Times New Roman"/>
          <w:lang w:eastAsia="ar-SA"/>
        </w:rPr>
        <w:t xml:space="preserve">Ar šo uzņemos pilnu atbildību par Iepirkumam iesniegto dokumentu komplektāciju, tajos ietverto informāciju, noformējumu, atbilstību </w:t>
      </w:r>
      <w:smartTag w:uri="schemas-tilde-lv/tildestengine" w:element="veidnes">
        <w:smartTagPr>
          <w:attr w:name="baseform" w:val="nolikum|s"/>
          <w:attr w:name="id" w:val="-1"/>
          <w:attr w:name="text" w:val="Nolikuma"/>
        </w:smartTagPr>
        <w:r w:rsidRPr="00961EDA">
          <w:rPr>
            <w:rFonts w:ascii="Times New Roman" w:eastAsia="Times New Roman" w:hAnsi="Times New Roman" w:cs="Times New Roman"/>
            <w:lang w:eastAsia="ar-SA"/>
          </w:rPr>
          <w:t>nolikuma</w:t>
        </w:r>
      </w:smartTag>
      <w:r w:rsidRPr="00961EDA">
        <w:rPr>
          <w:rFonts w:ascii="Times New Roman" w:eastAsia="Times New Roman" w:hAnsi="Times New Roman" w:cs="Times New Roman"/>
          <w:lang w:eastAsia="ar-SA"/>
        </w:rPr>
        <w:t xml:space="preserve"> prasībām. Sniegtā informācija un dati ir patiesi. </w:t>
      </w:r>
    </w:p>
    <w:p w:rsidR="00961EDA" w:rsidRPr="00961EDA" w:rsidRDefault="00961EDA" w:rsidP="00961EDA">
      <w:pPr>
        <w:suppressAutoHyphens/>
        <w:spacing w:after="0" w:line="240" w:lineRule="auto"/>
        <w:ind w:right="28"/>
        <w:jc w:val="both"/>
        <w:rPr>
          <w:rFonts w:ascii="Times New Roman" w:eastAsia="Times New Roman" w:hAnsi="Times New Roman" w:cs="Times New Roman"/>
          <w:lang w:eastAsia="ar-SA"/>
        </w:rPr>
      </w:pPr>
    </w:p>
    <w:p w:rsidR="00961EDA" w:rsidRPr="00051CC9" w:rsidRDefault="00961EDA" w:rsidP="00051CC9">
      <w:pPr>
        <w:suppressAutoHyphens/>
        <w:spacing w:after="0" w:line="240" w:lineRule="auto"/>
        <w:ind w:right="28"/>
        <w:jc w:val="both"/>
        <w:rPr>
          <w:rFonts w:ascii="Times New Roman" w:eastAsia="Times New Roman" w:hAnsi="Times New Roman" w:cs="Times New Roman"/>
          <w:lang w:eastAsia="ar-SA"/>
        </w:rPr>
      </w:pPr>
      <w:r w:rsidRPr="00961EDA">
        <w:rPr>
          <w:rFonts w:ascii="Times New Roman" w:eastAsia="Times New Roman" w:hAnsi="Times New Roman" w:cs="Times New Roman"/>
          <w:lang w:eastAsia="ar-SA"/>
        </w:rPr>
        <w:t xml:space="preserve">Saskaņā ar Konkursa nolikumu apliecinu, ka </w:t>
      </w:r>
      <w:r w:rsidR="00051CC9">
        <w:rPr>
          <w:rFonts w:ascii="Times New Roman" w:eastAsia="Times New Roman" w:hAnsi="Times New Roman" w:cs="Times New Roman"/>
          <w:lang w:eastAsia="ar-SA"/>
        </w:rPr>
        <w:t>Kandidāts</w:t>
      </w:r>
      <w:r w:rsidRPr="00961EDA">
        <w:rPr>
          <w:rFonts w:ascii="Times New Roman" w:eastAsia="Times New Roman" w:hAnsi="Times New Roman" w:cs="Times New Roman"/>
          <w:lang w:eastAsia="ar-SA"/>
        </w:rPr>
        <w:t xml:space="preserve"> ir spējīgs uzņemties piedāvātā iepirkuma priekšmeta garantijas saistības.</w:t>
      </w:r>
    </w:p>
    <w:sectPr w:rsidR="00961EDA" w:rsidRPr="00051CC9" w:rsidSect="00051CC9">
      <w:pgSz w:w="16838" w:h="11906" w:orient="landscape"/>
      <w:pgMar w:top="1800" w:right="249" w:bottom="1274" w:left="2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CC9" w:rsidRDefault="00051CC9" w:rsidP="00051CC9">
      <w:pPr>
        <w:spacing w:after="0" w:line="240" w:lineRule="auto"/>
      </w:pPr>
      <w:r>
        <w:separator/>
      </w:r>
    </w:p>
  </w:endnote>
  <w:endnote w:type="continuationSeparator" w:id="0">
    <w:p w:rsidR="00051CC9" w:rsidRDefault="00051CC9" w:rsidP="0005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CC9" w:rsidRDefault="00051CC9" w:rsidP="00051CC9">
      <w:pPr>
        <w:spacing w:after="0" w:line="240" w:lineRule="auto"/>
      </w:pPr>
      <w:r>
        <w:separator/>
      </w:r>
    </w:p>
  </w:footnote>
  <w:footnote w:type="continuationSeparator" w:id="0">
    <w:p w:rsidR="00051CC9" w:rsidRDefault="00051CC9" w:rsidP="00051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0145424"/>
    <w:lvl w:ilvl="0" w:tplc="0426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DA"/>
    <w:rsid w:val="00051CC9"/>
    <w:rsid w:val="00077B6F"/>
    <w:rsid w:val="00231894"/>
    <w:rsid w:val="00786B83"/>
    <w:rsid w:val="00961EDA"/>
    <w:rsid w:val="00A324A7"/>
    <w:rsid w:val="00AB5692"/>
    <w:rsid w:val="00D77031"/>
    <w:rsid w:val="00EA2B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57995DD-F758-499E-95A1-0DA6780B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B6F"/>
    <w:pPr>
      <w:ind w:left="720"/>
      <w:contextualSpacing/>
    </w:pPr>
  </w:style>
  <w:style w:type="paragraph" w:styleId="Header">
    <w:name w:val="header"/>
    <w:basedOn w:val="Normal"/>
    <w:link w:val="HeaderChar"/>
    <w:uiPriority w:val="99"/>
    <w:unhideWhenUsed/>
    <w:rsid w:val="00051C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CC9"/>
  </w:style>
  <w:style w:type="paragraph" w:styleId="Footer">
    <w:name w:val="footer"/>
    <w:basedOn w:val="Normal"/>
    <w:link w:val="FooterChar"/>
    <w:uiPriority w:val="99"/>
    <w:unhideWhenUsed/>
    <w:rsid w:val="00051C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15</Pages>
  <Words>17196</Words>
  <Characters>9802</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6</cp:revision>
  <dcterms:created xsi:type="dcterms:W3CDTF">2018-05-08T06:58:00Z</dcterms:created>
  <dcterms:modified xsi:type="dcterms:W3CDTF">2018-10-23T11:05:00Z</dcterms:modified>
</cp:coreProperties>
</file>