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3D" w:rsidRPr="0034593D" w:rsidRDefault="0034593D" w:rsidP="0013337C">
      <w:pPr>
        <w:jc w:val="right"/>
        <w:rPr>
          <w:sz w:val="22"/>
          <w:szCs w:val="22"/>
          <w:lang w:val="en-US"/>
        </w:rPr>
      </w:pPr>
      <w:bookmarkStart w:id="0" w:name="_Toc142821026"/>
      <w:bookmarkStart w:id="1" w:name="_Toc142821130"/>
      <w:bookmarkStart w:id="2" w:name="_Toc143083046"/>
      <w:bookmarkStart w:id="3" w:name="_Toc143084001"/>
      <w:bookmarkStart w:id="4" w:name="_Toc164738563"/>
      <w:bookmarkStart w:id="5" w:name="_Toc165114092"/>
      <w:bookmarkStart w:id="6" w:name="_Toc170901416"/>
      <w:bookmarkStart w:id="7" w:name="_Toc170902046"/>
      <w:bookmarkStart w:id="8" w:name="_Toc179001853"/>
      <w:bookmarkStart w:id="9" w:name="_Toc191963384"/>
      <w:bookmarkStart w:id="10" w:name="_Toc211160543"/>
      <w:bookmarkStart w:id="11" w:name="_Toc211160635"/>
      <w:r w:rsidRPr="0034593D">
        <w:rPr>
          <w:sz w:val="22"/>
          <w:szCs w:val="22"/>
          <w:lang w:val="en-US"/>
        </w:rPr>
        <w:t>Appendix 2.1 to</w:t>
      </w:r>
      <w:r w:rsidR="0013337C" w:rsidRPr="0034593D">
        <w:rPr>
          <w:sz w:val="22"/>
          <w:szCs w:val="22"/>
          <w:lang w:val="en-US"/>
        </w:rPr>
        <w:tab/>
      </w:r>
    </w:p>
    <w:p w:rsidR="0013337C" w:rsidRPr="0034593D" w:rsidRDefault="0034593D" w:rsidP="0013337C">
      <w:pPr>
        <w:jc w:val="right"/>
        <w:rPr>
          <w:rFonts w:eastAsia="Cambria"/>
          <w:i/>
          <w:sz w:val="22"/>
          <w:szCs w:val="22"/>
          <w:lang w:val="en-US" w:eastAsia="en-US"/>
        </w:rPr>
      </w:pPr>
      <w:r w:rsidRPr="0034593D">
        <w:rPr>
          <w:rFonts w:eastAsia="Cambria"/>
          <w:kern w:val="56"/>
          <w:sz w:val="22"/>
          <w:szCs w:val="22"/>
          <w:lang w:val="en-US" w:eastAsia="en-US"/>
        </w:rPr>
        <w:t>Procurement Regulations</w:t>
      </w:r>
    </w:p>
    <w:p w:rsidR="0013337C" w:rsidRPr="0034593D" w:rsidRDefault="0034593D" w:rsidP="0013337C">
      <w:pPr>
        <w:suppressAutoHyphens w:val="0"/>
        <w:ind w:left="4500" w:hanging="4500"/>
        <w:jc w:val="right"/>
        <w:rPr>
          <w:rFonts w:eastAsia="Cambria"/>
          <w:kern w:val="56"/>
          <w:sz w:val="22"/>
          <w:szCs w:val="22"/>
          <w:lang w:val="en-US" w:eastAsia="en-US"/>
        </w:rPr>
      </w:pPr>
      <w:r w:rsidRPr="0034593D">
        <w:rPr>
          <w:rFonts w:eastAsia="Cambria"/>
          <w:kern w:val="56"/>
          <w:sz w:val="22"/>
          <w:szCs w:val="22"/>
          <w:lang w:val="en-US" w:eastAsia="en-US"/>
        </w:rPr>
        <w:t>ID No</w:t>
      </w:r>
      <w:r w:rsidR="006E3D8F" w:rsidRPr="0034593D">
        <w:rPr>
          <w:rFonts w:eastAsia="Cambria"/>
          <w:kern w:val="56"/>
          <w:sz w:val="22"/>
          <w:szCs w:val="22"/>
          <w:lang w:val="en-US" w:eastAsia="en-US"/>
        </w:rPr>
        <w:t>.: RTU-2017</w:t>
      </w:r>
      <w:r w:rsidR="0013337C" w:rsidRPr="0034593D">
        <w:rPr>
          <w:rFonts w:eastAsia="Cambria"/>
          <w:kern w:val="56"/>
          <w:sz w:val="22"/>
          <w:szCs w:val="22"/>
          <w:lang w:val="en-US" w:eastAsia="en-US"/>
        </w:rPr>
        <w:t>/</w:t>
      </w:r>
      <w:r w:rsidR="00A954F4">
        <w:rPr>
          <w:rFonts w:eastAsia="Cambria"/>
          <w:kern w:val="56"/>
          <w:sz w:val="22"/>
          <w:szCs w:val="22"/>
          <w:lang w:val="en-US" w:eastAsia="en-US"/>
        </w:rPr>
        <w:t>128</w:t>
      </w:r>
    </w:p>
    <w:p w:rsidR="00F37D1E" w:rsidRPr="006602FC" w:rsidRDefault="00F37D1E" w:rsidP="0013337C">
      <w:pPr>
        <w:suppressAutoHyphens w:val="0"/>
        <w:spacing w:after="240"/>
        <w:jc w:val="center"/>
        <w:rPr>
          <w:rFonts w:eastAsia="Cambria"/>
          <w:b/>
          <w:kern w:val="56"/>
          <w:sz w:val="22"/>
          <w:szCs w:val="22"/>
          <w:lang w:val="en-US" w:eastAsia="en-US"/>
        </w:rPr>
      </w:pPr>
    </w:p>
    <w:p w:rsidR="001468DF" w:rsidRPr="006602FC" w:rsidRDefault="006602FC" w:rsidP="0013337C">
      <w:pPr>
        <w:suppressAutoHyphens w:val="0"/>
        <w:spacing w:after="240"/>
        <w:jc w:val="center"/>
        <w:rPr>
          <w:rFonts w:eastAsiaTheme="minorHAnsi" w:cs="Cambria"/>
          <w:b/>
          <w:kern w:val="56"/>
          <w:sz w:val="22"/>
          <w:szCs w:val="22"/>
          <w:lang w:val="en-US" w:eastAsia="en-US"/>
        </w:rPr>
      </w:pPr>
      <w:r w:rsidRPr="006602FC">
        <w:rPr>
          <w:rFonts w:eastAsia="Cambria"/>
          <w:b/>
          <w:kern w:val="56"/>
          <w:sz w:val="22"/>
          <w:szCs w:val="22"/>
          <w:lang w:val="en-US" w:eastAsia="en-US"/>
        </w:rPr>
        <w:t xml:space="preserve">Procurement of Specific </w:t>
      </w:r>
      <w:r w:rsidR="00357A9F">
        <w:rPr>
          <w:rFonts w:eastAsia="Cambria"/>
          <w:b/>
          <w:kern w:val="56"/>
          <w:sz w:val="22"/>
          <w:szCs w:val="22"/>
          <w:lang w:val="en-US" w:eastAsia="en-US"/>
        </w:rPr>
        <w:t>Textiles</w:t>
      </w:r>
      <w:r w:rsidR="00057B10" w:rsidRPr="006602FC">
        <w:rPr>
          <w:rFonts w:eastAsia="Cambria"/>
          <w:b/>
          <w:kern w:val="56"/>
          <w:sz w:val="22"/>
          <w:szCs w:val="22"/>
          <w:lang w:val="en-US" w:eastAsia="en-US"/>
        </w:rPr>
        <w:t xml:space="preserve"> </w:t>
      </w:r>
      <w:r w:rsidR="00357A9F">
        <w:rPr>
          <w:rFonts w:eastAsia="Cambria"/>
          <w:b/>
          <w:kern w:val="56"/>
          <w:sz w:val="22"/>
          <w:szCs w:val="22"/>
          <w:lang w:val="en-US" w:eastAsia="en-US"/>
        </w:rPr>
        <w:t>for the N</w:t>
      </w:r>
      <w:r w:rsidR="00F37D1E" w:rsidRPr="006602FC">
        <w:rPr>
          <w:rFonts w:eastAsia="Cambria"/>
          <w:b/>
          <w:kern w:val="56"/>
          <w:sz w:val="22"/>
          <w:szCs w:val="22"/>
          <w:lang w:val="en-US" w:eastAsia="en-US"/>
        </w:rPr>
        <w:t>eed</w:t>
      </w:r>
      <w:r>
        <w:rPr>
          <w:rFonts w:eastAsia="Cambria"/>
          <w:b/>
          <w:kern w:val="56"/>
          <w:sz w:val="22"/>
          <w:szCs w:val="22"/>
          <w:lang w:val="en-US" w:eastAsia="en-US"/>
        </w:rPr>
        <w:t>s</w:t>
      </w:r>
      <w:r w:rsidR="00357A9F">
        <w:rPr>
          <w:rFonts w:eastAsia="Cambria"/>
          <w:b/>
          <w:kern w:val="56"/>
          <w:sz w:val="22"/>
          <w:szCs w:val="22"/>
          <w:lang w:val="en-US" w:eastAsia="en-US"/>
        </w:rPr>
        <w:t xml:space="preserve"> of the P</w:t>
      </w:r>
      <w:r w:rsidR="00F37D1E" w:rsidRPr="006602FC">
        <w:rPr>
          <w:rFonts w:eastAsia="Cambria"/>
          <w:b/>
          <w:kern w:val="56"/>
          <w:sz w:val="22"/>
          <w:szCs w:val="22"/>
          <w:lang w:val="en-US" w:eastAsia="en-US"/>
        </w:rPr>
        <w:t>roject</w:t>
      </w:r>
      <w:r w:rsidR="00057B10" w:rsidRPr="006602FC">
        <w:rPr>
          <w:rFonts w:eastAsia="Cambria"/>
          <w:b/>
          <w:kern w:val="56"/>
          <w:sz w:val="22"/>
          <w:szCs w:val="22"/>
          <w:lang w:val="en-US" w:eastAsia="en-US"/>
        </w:rPr>
        <w:t xml:space="preserve"> “</w:t>
      </w:r>
      <w:r w:rsidR="002C701D" w:rsidRPr="006602FC">
        <w:rPr>
          <w:rFonts w:eastAsia="Cambria"/>
          <w:b/>
          <w:kern w:val="56"/>
          <w:sz w:val="22"/>
          <w:szCs w:val="22"/>
          <w:lang w:val="en-US" w:eastAsia="en-US"/>
        </w:rPr>
        <w:t>Smart and Safe Work Wear Clothing</w:t>
      </w:r>
      <w:r w:rsidR="00057B10" w:rsidRPr="006602FC">
        <w:rPr>
          <w:rFonts w:eastAsia="Cambria"/>
          <w:b/>
          <w:kern w:val="56"/>
          <w:sz w:val="22"/>
          <w:szCs w:val="22"/>
          <w:lang w:val="en-US" w:eastAsia="en-US"/>
        </w:rPr>
        <w:t xml:space="preserve"> - SWW”</w:t>
      </w:r>
      <w:r w:rsidR="00357A9F">
        <w:rPr>
          <w:rFonts w:eastAsia="Cambria"/>
          <w:b/>
          <w:kern w:val="56"/>
          <w:sz w:val="22"/>
          <w:szCs w:val="22"/>
          <w:lang w:val="en-US" w:eastAsia="en-US"/>
        </w:rPr>
        <w:t xml:space="preserve"> Co-F</w:t>
      </w:r>
      <w:r w:rsidRPr="006602FC">
        <w:rPr>
          <w:rFonts w:eastAsia="Cambria"/>
          <w:b/>
          <w:kern w:val="56"/>
          <w:sz w:val="22"/>
          <w:szCs w:val="22"/>
          <w:lang w:val="en-US" w:eastAsia="en-US"/>
        </w:rPr>
        <w:t>inanced by Interreg Baltic Sea Region Cooperation Program</w:t>
      </w:r>
    </w:p>
    <w:p w:rsidR="0013337C" w:rsidRPr="006602FC" w:rsidRDefault="0013337C" w:rsidP="0013337C">
      <w:pPr>
        <w:suppressAutoHyphens w:val="0"/>
        <w:spacing w:after="240"/>
        <w:jc w:val="center"/>
        <w:rPr>
          <w:b/>
          <w:sz w:val="22"/>
          <w:szCs w:val="22"/>
          <w:lang w:val="en-US" w:eastAsia="lv-LV"/>
        </w:rPr>
      </w:pPr>
      <w:r w:rsidRPr="006602FC">
        <w:rPr>
          <w:b/>
          <w:sz w:val="22"/>
          <w:szCs w:val="22"/>
          <w:lang w:val="en-US" w:eastAsia="lv-LV"/>
        </w:rPr>
        <w:t>(</w:t>
      </w:r>
      <w:r w:rsidR="0034593D" w:rsidRPr="006602FC">
        <w:rPr>
          <w:rFonts w:eastAsia="Cambria"/>
          <w:kern w:val="56"/>
          <w:sz w:val="22"/>
          <w:szCs w:val="22"/>
          <w:lang w:val="en-US" w:eastAsia="en-US"/>
        </w:rPr>
        <w:t>ID No</w:t>
      </w:r>
      <w:r w:rsidR="006E3D8F" w:rsidRPr="006602FC">
        <w:rPr>
          <w:rFonts w:eastAsia="Cambria"/>
          <w:kern w:val="56"/>
          <w:sz w:val="22"/>
          <w:szCs w:val="22"/>
          <w:lang w:val="en-US" w:eastAsia="en-US"/>
        </w:rPr>
        <w:t>.: RTU-2017</w:t>
      </w:r>
      <w:r w:rsidRPr="006602FC">
        <w:rPr>
          <w:rFonts w:eastAsia="Cambria"/>
          <w:kern w:val="56"/>
          <w:sz w:val="22"/>
          <w:szCs w:val="22"/>
          <w:lang w:val="en-US" w:eastAsia="en-US"/>
        </w:rPr>
        <w:t>/</w:t>
      </w:r>
      <w:r w:rsidR="00A954F4">
        <w:rPr>
          <w:rFonts w:eastAsia="Cambria"/>
          <w:kern w:val="56"/>
          <w:sz w:val="22"/>
          <w:szCs w:val="22"/>
          <w:lang w:val="en-US" w:eastAsia="en-US"/>
        </w:rPr>
        <w:t>128</w:t>
      </w:r>
      <w:r w:rsidRPr="006602FC">
        <w:rPr>
          <w:rFonts w:eastAsia="Cambria"/>
          <w:kern w:val="56"/>
          <w:sz w:val="22"/>
          <w:szCs w:val="22"/>
          <w:lang w:val="en-US" w:eastAsia="en-US"/>
        </w:rPr>
        <w:t>)</w:t>
      </w:r>
      <w:r w:rsidRPr="006602FC">
        <w:rPr>
          <w:b/>
          <w:sz w:val="22"/>
          <w:szCs w:val="22"/>
          <w:lang w:val="en-US" w:eastAsia="lv-LV"/>
        </w:rPr>
        <w:t xml:space="preserve"> </w:t>
      </w:r>
    </w:p>
    <w:p w:rsidR="004F6033" w:rsidRDefault="0013337C" w:rsidP="0013337C">
      <w:pPr>
        <w:spacing w:after="240"/>
        <w:jc w:val="center"/>
        <w:rPr>
          <w:b/>
          <w:sz w:val="22"/>
          <w:szCs w:val="22"/>
          <w:lang w:val="lv-LV" w:eastAsia="lv-LV"/>
        </w:rPr>
      </w:pPr>
      <w:r w:rsidRPr="001468DF">
        <w:rPr>
          <w:b/>
          <w:sz w:val="22"/>
          <w:szCs w:val="22"/>
          <w:lang w:val="lv-LV" w:eastAsia="lv-LV"/>
        </w:rPr>
        <w:t xml:space="preserve"> </w:t>
      </w:r>
      <w:r w:rsidR="00655FB8" w:rsidRPr="006602FC">
        <w:rPr>
          <w:rFonts w:eastAsia="Cambria"/>
          <w:b/>
          <w:kern w:val="56"/>
          <w:sz w:val="22"/>
          <w:szCs w:val="22"/>
          <w:lang w:val="en-US" w:eastAsia="en-US"/>
        </w:rPr>
        <w:t xml:space="preserve">Part 1 </w:t>
      </w:r>
      <w:r w:rsidR="00655FB8">
        <w:rPr>
          <w:rFonts w:eastAsia="Cambria"/>
          <w:b/>
          <w:kern w:val="56"/>
          <w:sz w:val="22"/>
          <w:szCs w:val="22"/>
          <w:lang w:val="en-US" w:eastAsia="en-US"/>
        </w:rPr>
        <w:t>of the Procurement</w:t>
      </w:r>
      <w:r w:rsidR="00655FB8" w:rsidRPr="001468DF">
        <w:rPr>
          <w:b/>
          <w:sz w:val="22"/>
          <w:szCs w:val="22"/>
          <w:lang w:val="lv-LV" w:eastAsia="lv-LV"/>
        </w:rPr>
        <w:t xml:space="preserve"> </w:t>
      </w:r>
    </w:p>
    <w:p w:rsidR="0013337C" w:rsidRPr="001468DF" w:rsidRDefault="00655FB8" w:rsidP="0013337C">
      <w:pPr>
        <w:spacing w:after="240"/>
        <w:jc w:val="center"/>
        <w:rPr>
          <w:b/>
          <w:sz w:val="22"/>
          <w:szCs w:val="22"/>
          <w:lang w:val="lv-LV" w:eastAsia="lv-LV"/>
        </w:rPr>
      </w:pPr>
      <w:r>
        <w:rPr>
          <w:rFonts w:eastAsia="Cambria"/>
          <w:b/>
          <w:kern w:val="56"/>
          <w:sz w:val="22"/>
          <w:szCs w:val="22"/>
          <w:lang w:val="en-US" w:eastAsia="en-US"/>
        </w:rPr>
        <w:t xml:space="preserve">“Protective Clothing </w:t>
      </w:r>
      <w:r w:rsidR="00357A9F">
        <w:rPr>
          <w:rFonts w:eastAsia="Cambria"/>
          <w:b/>
          <w:kern w:val="56"/>
          <w:sz w:val="22"/>
          <w:szCs w:val="22"/>
          <w:lang w:val="en-US" w:eastAsia="en-US"/>
        </w:rPr>
        <w:t>Textiles</w:t>
      </w:r>
      <w:r>
        <w:rPr>
          <w:rFonts w:eastAsia="Cambria"/>
          <w:b/>
          <w:kern w:val="56"/>
          <w:sz w:val="22"/>
          <w:szCs w:val="22"/>
          <w:lang w:val="en-US" w:eastAsia="en-US"/>
        </w:rPr>
        <w:t xml:space="preserve">” </w:t>
      </w:r>
    </w:p>
    <w:p w:rsidR="0013337C" w:rsidRPr="00357A9F" w:rsidRDefault="00ED306B" w:rsidP="0013337C">
      <w:pPr>
        <w:suppressAutoHyphens w:val="0"/>
        <w:spacing w:after="240"/>
        <w:jc w:val="center"/>
        <w:outlineLvl w:val="0"/>
        <w:rPr>
          <w:rFonts w:eastAsia="Calibri"/>
          <w:b/>
          <w:sz w:val="22"/>
          <w:szCs w:val="22"/>
          <w:lang w:val="en-US" w:eastAsia="en-US"/>
        </w:rPr>
      </w:pPr>
      <w:r w:rsidRPr="00ED306B">
        <w:rPr>
          <w:rFonts w:eastAsia="Calibri"/>
          <w:b/>
          <w:sz w:val="22"/>
          <w:szCs w:val="22"/>
          <w:lang w:val="en-US" w:eastAsia="en-US"/>
        </w:rPr>
        <w:t>Technical Specification of Tenderer</w:t>
      </w:r>
      <w:r w:rsidR="00357A9F" w:rsidRPr="00357A9F">
        <w:rPr>
          <w:rFonts w:eastAsia="Calibri"/>
          <w:b/>
          <w:sz w:val="22"/>
          <w:szCs w:val="22"/>
          <w:lang w:val="en-US" w:eastAsia="en-US"/>
        </w:rPr>
        <w:t xml:space="preserve"> </w:t>
      </w:r>
      <w:r w:rsidR="00057B10" w:rsidRPr="00357A9F">
        <w:rPr>
          <w:rFonts w:eastAsia="Calibri"/>
          <w:b/>
          <w:sz w:val="22"/>
          <w:szCs w:val="22"/>
          <w:lang w:val="en-US" w:eastAsia="en-US"/>
        </w:rPr>
        <w:t>(</w:t>
      </w:r>
      <w:r w:rsidRPr="00ED306B">
        <w:rPr>
          <w:rFonts w:eastAsia="Calibri"/>
          <w:b/>
          <w:sz w:val="22"/>
          <w:szCs w:val="22"/>
          <w:lang w:val="en-US" w:eastAsia="en-US"/>
        </w:rPr>
        <w:t>Form of Technical Tender and Financial Tender of Tenderer</w:t>
      </w:r>
      <w:r w:rsidR="0013337C" w:rsidRPr="00357A9F">
        <w:rPr>
          <w:rFonts w:eastAsia="Calibri"/>
          <w:b/>
          <w:sz w:val="22"/>
          <w:szCs w:val="22"/>
          <w:lang w:val="en-US" w:eastAsia="en-US"/>
        </w:rPr>
        <w:t>)</w:t>
      </w:r>
    </w:p>
    <w:p w:rsidR="00057B10" w:rsidRPr="00357A9F" w:rsidRDefault="00057B10" w:rsidP="00057B10">
      <w:pPr>
        <w:jc w:val="both"/>
        <w:rPr>
          <w:sz w:val="22"/>
          <w:szCs w:val="22"/>
          <w:lang w:val="en-US" w:eastAsia="lv-LV"/>
        </w:rPr>
      </w:pPr>
      <w:r w:rsidRPr="00357A9F">
        <w:rPr>
          <w:sz w:val="22"/>
          <w:szCs w:val="22"/>
          <w:highlight w:val="lightGray"/>
          <w:lang w:val="en-US" w:eastAsia="lv-LV"/>
        </w:rPr>
        <w:t>&lt;</w:t>
      </w:r>
      <w:r w:rsidR="002C701D" w:rsidRPr="00357A9F">
        <w:rPr>
          <w:sz w:val="22"/>
          <w:szCs w:val="22"/>
          <w:highlight w:val="lightGray"/>
          <w:lang w:val="en-US" w:eastAsia="lv-LV"/>
        </w:rPr>
        <w:t>location</w:t>
      </w:r>
      <w:r w:rsidRPr="00357A9F">
        <w:rPr>
          <w:sz w:val="22"/>
          <w:szCs w:val="22"/>
          <w:highlight w:val="lightGray"/>
          <w:lang w:val="en-US" w:eastAsia="lv-LV"/>
        </w:rPr>
        <w:t>&gt;</w:t>
      </w:r>
      <w:r w:rsidRPr="00357A9F">
        <w:rPr>
          <w:sz w:val="22"/>
          <w:szCs w:val="22"/>
          <w:lang w:val="en-US" w:eastAsia="lv-LV"/>
        </w:rPr>
        <w:t xml:space="preserve">, </w:t>
      </w:r>
      <w:r w:rsidRPr="00357A9F">
        <w:rPr>
          <w:sz w:val="22"/>
          <w:szCs w:val="22"/>
          <w:highlight w:val="lightGray"/>
          <w:lang w:val="en-US" w:eastAsia="lv-LV"/>
        </w:rPr>
        <w:t>&lt;</w:t>
      </w:r>
      <w:r w:rsidR="002C701D" w:rsidRPr="00357A9F">
        <w:rPr>
          <w:sz w:val="22"/>
          <w:szCs w:val="22"/>
          <w:highlight w:val="lightGray"/>
          <w:lang w:val="en-US" w:eastAsia="lv-LV"/>
        </w:rPr>
        <w:t>year</w:t>
      </w:r>
      <w:r w:rsidRPr="00357A9F">
        <w:rPr>
          <w:sz w:val="22"/>
          <w:szCs w:val="22"/>
          <w:highlight w:val="lightGray"/>
          <w:lang w:val="en-US" w:eastAsia="lv-LV"/>
        </w:rPr>
        <w:t>&gt;</w:t>
      </w:r>
      <w:r w:rsidRPr="00357A9F">
        <w:rPr>
          <w:sz w:val="22"/>
          <w:szCs w:val="22"/>
          <w:lang w:val="en-US" w:eastAsia="lv-LV"/>
        </w:rPr>
        <w:t xml:space="preserve">, </w:t>
      </w:r>
      <w:r w:rsidRPr="00357A9F">
        <w:rPr>
          <w:sz w:val="22"/>
          <w:szCs w:val="22"/>
          <w:highlight w:val="lightGray"/>
          <w:lang w:val="en-US" w:eastAsia="lv-LV"/>
        </w:rPr>
        <w:t>&lt;</w:t>
      </w:r>
      <w:r w:rsidR="002C701D" w:rsidRPr="00357A9F">
        <w:rPr>
          <w:sz w:val="22"/>
          <w:szCs w:val="22"/>
          <w:highlight w:val="lightGray"/>
          <w:lang w:val="en-US" w:eastAsia="lv-LV"/>
        </w:rPr>
        <w:t>date</w:t>
      </w:r>
      <w:r w:rsidRPr="00357A9F">
        <w:rPr>
          <w:sz w:val="22"/>
          <w:szCs w:val="22"/>
          <w:highlight w:val="lightGray"/>
          <w:lang w:val="en-US" w:eastAsia="lv-LV"/>
        </w:rPr>
        <w:t>&gt;</w:t>
      </w:r>
      <w:r w:rsidRPr="00357A9F">
        <w:rPr>
          <w:sz w:val="22"/>
          <w:szCs w:val="22"/>
          <w:lang w:val="en-US" w:eastAsia="lv-LV"/>
        </w:rPr>
        <w:t xml:space="preserve">, </w:t>
      </w:r>
      <w:r w:rsidRPr="00357A9F">
        <w:rPr>
          <w:sz w:val="22"/>
          <w:szCs w:val="22"/>
          <w:highlight w:val="lightGray"/>
          <w:lang w:val="en-US" w:eastAsia="lv-LV"/>
        </w:rPr>
        <w:t>&lt;</w:t>
      </w:r>
      <w:r w:rsidR="002C701D" w:rsidRPr="00357A9F">
        <w:rPr>
          <w:sz w:val="22"/>
          <w:szCs w:val="22"/>
          <w:highlight w:val="lightGray"/>
          <w:lang w:val="en-US" w:eastAsia="lv-LV"/>
        </w:rPr>
        <w:t>month</w:t>
      </w:r>
      <w:r w:rsidRPr="00357A9F">
        <w:rPr>
          <w:sz w:val="22"/>
          <w:szCs w:val="22"/>
          <w:highlight w:val="lightGray"/>
          <w:lang w:val="en-US" w:eastAsia="lv-LV"/>
        </w:rPr>
        <w:t>&gt;</w:t>
      </w:r>
    </w:p>
    <w:p w:rsidR="00057B10" w:rsidRPr="00357A9F" w:rsidRDefault="00057B10" w:rsidP="00057B10">
      <w:pPr>
        <w:rPr>
          <w:sz w:val="22"/>
          <w:szCs w:val="22"/>
          <w:lang w:val="en-US" w:eastAsia="lv-LV"/>
        </w:rPr>
      </w:pPr>
    </w:p>
    <w:p w:rsidR="00057B10" w:rsidRPr="00357A9F" w:rsidRDefault="00357A9F" w:rsidP="00057B10">
      <w:pPr>
        <w:tabs>
          <w:tab w:val="left" w:pos="0"/>
        </w:tabs>
        <w:jc w:val="both"/>
        <w:rPr>
          <w:sz w:val="22"/>
          <w:szCs w:val="22"/>
          <w:lang w:val="en-US" w:eastAsia="lv-LV"/>
        </w:rPr>
      </w:pPr>
      <w:r w:rsidRPr="00357A9F">
        <w:rPr>
          <w:sz w:val="22"/>
          <w:szCs w:val="22"/>
          <w:lang w:val="en-US" w:eastAsia="lv-LV"/>
        </w:rPr>
        <w:t>The Bidder</w:t>
      </w:r>
      <w:r w:rsidR="00057B10" w:rsidRPr="00357A9F">
        <w:rPr>
          <w:sz w:val="22"/>
          <w:szCs w:val="22"/>
          <w:lang w:val="en-US" w:eastAsia="lv-LV"/>
        </w:rPr>
        <w:t xml:space="preserve"> </w:t>
      </w:r>
      <w:r w:rsidR="00057B10" w:rsidRPr="00357A9F">
        <w:rPr>
          <w:sz w:val="22"/>
          <w:szCs w:val="22"/>
          <w:highlight w:val="lightGray"/>
          <w:lang w:val="en-US" w:eastAsia="lv-LV"/>
        </w:rPr>
        <w:t xml:space="preserve">&lt; </w:t>
      </w:r>
      <w:r w:rsidRPr="00357A9F">
        <w:rPr>
          <w:sz w:val="22"/>
          <w:szCs w:val="22"/>
          <w:highlight w:val="lightGray"/>
          <w:lang w:val="en-US" w:eastAsia="lv-LV"/>
        </w:rPr>
        <w:t>Title</w:t>
      </w:r>
      <w:r w:rsidR="00057B10" w:rsidRPr="00357A9F">
        <w:rPr>
          <w:sz w:val="22"/>
          <w:szCs w:val="22"/>
          <w:highlight w:val="lightGray"/>
          <w:lang w:val="en-US" w:eastAsia="lv-LV"/>
        </w:rPr>
        <w:t xml:space="preserve">; </w:t>
      </w:r>
      <w:r w:rsidRPr="00357A9F">
        <w:rPr>
          <w:sz w:val="22"/>
          <w:szCs w:val="22"/>
          <w:highlight w:val="lightGray"/>
          <w:lang w:val="en-US" w:eastAsia="lv-LV"/>
        </w:rPr>
        <w:t>Registration ID</w:t>
      </w:r>
      <w:r w:rsidR="00057B10" w:rsidRPr="00357A9F">
        <w:rPr>
          <w:sz w:val="22"/>
          <w:szCs w:val="22"/>
          <w:highlight w:val="lightGray"/>
          <w:lang w:val="en-US" w:eastAsia="lv-LV"/>
        </w:rPr>
        <w:t>&gt;</w:t>
      </w:r>
      <w:r w:rsidR="00057B10" w:rsidRPr="00357A9F">
        <w:rPr>
          <w:sz w:val="22"/>
          <w:szCs w:val="22"/>
          <w:lang w:val="en-US" w:eastAsia="lv-LV"/>
        </w:rPr>
        <w:t xml:space="preserve">  </w:t>
      </w:r>
      <w:r w:rsidR="00274AE6">
        <w:rPr>
          <w:sz w:val="22"/>
          <w:szCs w:val="22"/>
          <w:lang w:val="en-US" w:eastAsia="lv-LV"/>
        </w:rPr>
        <w:t xml:space="preserve">has </w:t>
      </w:r>
      <w:r w:rsidR="00057B10" w:rsidRPr="00357A9F">
        <w:rPr>
          <w:sz w:val="22"/>
          <w:szCs w:val="22"/>
          <w:lang w:val="en-US" w:eastAsia="lv-LV"/>
        </w:rPr>
        <w:t xml:space="preserve"> </w:t>
      </w:r>
      <w:r w:rsidR="00274AE6">
        <w:rPr>
          <w:sz w:val="22"/>
          <w:szCs w:val="22"/>
          <w:lang w:val="en-US" w:eastAsia="lv-LV"/>
        </w:rPr>
        <w:t>read and understood</w:t>
      </w:r>
      <w:r w:rsidR="00057B10" w:rsidRPr="00357A9F">
        <w:rPr>
          <w:sz w:val="22"/>
          <w:szCs w:val="22"/>
          <w:lang w:val="en-US" w:eastAsia="lv-LV"/>
        </w:rPr>
        <w:t xml:space="preserve"> </w:t>
      </w:r>
      <w:r w:rsidR="00C30899">
        <w:rPr>
          <w:sz w:val="22"/>
          <w:szCs w:val="22"/>
          <w:lang w:val="en-US" w:eastAsia="lv-LV"/>
        </w:rPr>
        <w:t>the</w:t>
      </w:r>
      <w:r w:rsidR="00274AE6">
        <w:rPr>
          <w:sz w:val="22"/>
          <w:szCs w:val="22"/>
          <w:lang w:val="en-US" w:eastAsia="lv-LV"/>
        </w:rPr>
        <w:t xml:space="preserve"> Regulations </w:t>
      </w:r>
      <w:r w:rsidRPr="00357A9F">
        <w:rPr>
          <w:sz w:val="22"/>
          <w:szCs w:val="22"/>
          <w:lang w:val="en-US" w:eastAsia="lv-LV"/>
        </w:rPr>
        <w:t>of the procurement</w:t>
      </w:r>
      <w:r w:rsidR="00057B10" w:rsidRPr="00357A9F">
        <w:rPr>
          <w:sz w:val="22"/>
          <w:szCs w:val="22"/>
          <w:lang w:val="en-US" w:eastAsia="lv-LV"/>
        </w:rPr>
        <w:t xml:space="preserve">  </w:t>
      </w:r>
      <w:r w:rsidR="004F6033">
        <w:rPr>
          <w:sz w:val="22"/>
          <w:szCs w:val="22"/>
          <w:lang w:val="en-US" w:eastAsia="lv-LV"/>
        </w:rPr>
        <w:t>organized by Riga Technical University</w:t>
      </w:r>
      <w:r w:rsidR="004F6033" w:rsidRPr="00357A9F">
        <w:rPr>
          <w:sz w:val="22"/>
          <w:szCs w:val="22"/>
          <w:lang w:val="en-US" w:eastAsia="lv-LV"/>
        </w:rPr>
        <w:t xml:space="preserve"> </w:t>
      </w:r>
      <w:r w:rsidR="00057B10" w:rsidRPr="00357A9F">
        <w:rPr>
          <w:sz w:val="22"/>
          <w:szCs w:val="22"/>
          <w:lang w:val="en-US" w:eastAsia="lv-LV"/>
        </w:rPr>
        <w:t>“</w:t>
      </w:r>
      <w:r w:rsidRPr="00357A9F">
        <w:rPr>
          <w:rFonts w:eastAsia="Cambria"/>
          <w:kern w:val="56"/>
          <w:sz w:val="22"/>
          <w:szCs w:val="22"/>
          <w:lang w:val="en-US" w:eastAsia="en-US"/>
        </w:rPr>
        <w:t>Procurement of Specific Textiles for the Needs of the Project “Smart and Safe Work Wear Clothing - SWW” Co-Financed by Interreg Baltic Sea Region Cooperation Program</w:t>
      </w:r>
      <w:r w:rsidR="00057B10" w:rsidRPr="00357A9F">
        <w:rPr>
          <w:sz w:val="22"/>
          <w:szCs w:val="22"/>
          <w:lang w:val="en-US" w:eastAsia="lv-LV"/>
        </w:rPr>
        <w:t>”</w:t>
      </w:r>
      <w:r w:rsidR="00057B10" w:rsidRPr="00357A9F">
        <w:rPr>
          <w:bCs/>
          <w:sz w:val="22"/>
          <w:szCs w:val="22"/>
          <w:lang w:val="en-US" w:eastAsia="lv-LV"/>
        </w:rPr>
        <w:t xml:space="preserve">, </w:t>
      </w:r>
      <w:r w:rsidR="00057B10" w:rsidRPr="00357A9F">
        <w:rPr>
          <w:sz w:val="22"/>
          <w:szCs w:val="22"/>
          <w:lang w:val="en-US" w:eastAsia="lv-LV"/>
        </w:rPr>
        <w:t>ID N</w:t>
      </w:r>
      <w:r w:rsidRPr="00357A9F">
        <w:rPr>
          <w:sz w:val="22"/>
          <w:szCs w:val="22"/>
          <w:lang w:val="en-US" w:eastAsia="lv-LV"/>
        </w:rPr>
        <w:t>o</w:t>
      </w:r>
      <w:r w:rsidR="00A954F4">
        <w:rPr>
          <w:sz w:val="22"/>
          <w:szCs w:val="22"/>
          <w:lang w:val="en-US" w:eastAsia="lv-LV"/>
        </w:rPr>
        <w:t>.: RTU-2017/128</w:t>
      </w:r>
      <w:r w:rsidR="004F6033">
        <w:rPr>
          <w:sz w:val="22"/>
          <w:szCs w:val="22"/>
          <w:lang w:val="en-US" w:eastAsia="lv-LV"/>
        </w:rPr>
        <w:t>,</w:t>
      </w:r>
      <w:r w:rsidR="00274AE6">
        <w:rPr>
          <w:sz w:val="22"/>
          <w:szCs w:val="22"/>
          <w:lang w:val="en-US" w:eastAsia="lv-LV"/>
        </w:rPr>
        <w:t xml:space="preserve"> </w:t>
      </w:r>
      <w:r w:rsidR="00057B10" w:rsidRPr="00357A9F">
        <w:rPr>
          <w:sz w:val="22"/>
          <w:szCs w:val="22"/>
          <w:lang w:val="en-US" w:eastAsia="lv-LV"/>
        </w:rPr>
        <w:t xml:space="preserve"> </w:t>
      </w:r>
      <w:r w:rsidR="00274AE6">
        <w:rPr>
          <w:sz w:val="22"/>
          <w:szCs w:val="22"/>
          <w:lang w:val="en-US" w:eastAsia="lv-LV"/>
        </w:rPr>
        <w:t>and submits the following technical proposal</w:t>
      </w:r>
      <w:r w:rsidR="00057B10" w:rsidRPr="00357A9F">
        <w:rPr>
          <w:sz w:val="22"/>
          <w:szCs w:val="22"/>
          <w:lang w:val="en-US" w:eastAsia="lv-LV"/>
        </w:rPr>
        <w:t>:</w:t>
      </w:r>
      <w:r w:rsidR="00057B10" w:rsidRPr="00357A9F">
        <w:rPr>
          <w:sz w:val="22"/>
          <w:szCs w:val="22"/>
          <w:lang w:val="en-US" w:eastAsia="lv-LV"/>
        </w:rPr>
        <w:tab/>
      </w:r>
      <w:r w:rsidR="00057B10" w:rsidRPr="00357A9F">
        <w:rPr>
          <w:sz w:val="22"/>
          <w:szCs w:val="22"/>
          <w:lang w:val="en-US" w:eastAsia="lv-LV"/>
        </w:rPr>
        <w:tab/>
      </w:r>
    </w:p>
    <w:p w:rsidR="00057B10" w:rsidRPr="00357A9F" w:rsidRDefault="00057B10" w:rsidP="00057B10">
      <w:pPr>
        <w:jc w:val="center"/>
        <w:rPr>
          <w:b/>
          <w:bCs/>
          <w:lang w:val="en-US"/>
        </w:rPr>
      </w:pPr>
    </w:p>
    <w:p w:rsidR="00057B10" w:rsidRPr="00357A9F" w:rsidRDefault="00C30899" w:rsidP="00057B10">
      <w:pPr>
        <w:tabs>
          <w:tab w:val="left" w:pos="900"/>
        </w:tabs>
        <w:jc w:val="both"/>
        <w:rPr>
          <w:i/>
          <w:lang w:val="en-US" w:eastAsia="lv-LV"/>
        </w:rPr>
      </w:pPr>
      <w:r>
        <w:rPr>
          <w:i/>
          <w:lang w:val="en-US" w:eastAsia="lv-LV"/>
        </w:rPr>
        <w:t xml:space="preserve">If the technical specification stipulates a product bearing a definite </w:t>
      </w:r>
      <w:r w:rsidR="008A3EDD">
        <w:rPr>
          <w:i/>
          <w:lang w:val="en-US" w:eastAsia="lv-LV"/>
        </w:rPr>
        <w:t>name</w:t>
      </w:r>
      <w:r>
        <w:rPr>
          <w:i/>
          <w:lang w:val="en-US" w:eastAsia="lv-LV"/>
        </w:rPr>
        <w:t xml:space="preserve"> or </w:t>
      </w:r>
      <w:r w:rsidR="008A3EDD">
        <w:rPr>
          <w:i/>
          <w:lang w:val="en-US" w:eastAsia="lv-LV"/>
        </w:rPr>
        <w:t xml:space="preserve">requires </w:t>
      </w:r>
      <w:r>
        <w:rPr>
          <w:i/>
          <w:lang w:val="en-US" w:eastAsia="lv-LV"/>
        </w:rPr>
        <w:t>compliance to a definite standard or there is any other indication of specific origin of the product</w:t>
      </w:r>
      <w:r w:rsidR="00057B10" w:rsidRPr="00357A9F">
        <w:rPr>
          <w:i/>
          <w:lang w:val="en-US" w:eastAsia="lv-LV"/>
        </w:rPr>
        <w:t xml:space="preserve">, </w:t>
      </w:r>
      <w:r w:rsidR="00274AE6">
        <w:rPr>
          <w:i/>
          <w:lang w:val="en-US" w:eastAsia="lv-LV"/>
        </w:rPr>
        <w:t>specific process</w:t>
      </w:r>
      <w:r w:rsidR="00057B10" w:rsidRPr="00357A9F">
        <w:rPr>
          <w:i/>
          <w:lang w:val="en-US" w:eastAsia="lv-LV"/>
        </w:rPr>
        <w:t xml:space="preserve">, </w:t>
      </w:r>
      <w:r w:rsidR="00274AE6">
        <w:rPr>
          <w:i/>
          <w:lang w:val="en-US" w:eastAsia="lv-LV"/>
        </w:rPr>
        <w:t>brand or type</w:t>
      </w:r>
      <w:r w:rsidR="00057B10" w:rsidRPr="00357A9F">
        <w:rPr>
          <w:i/>
          <w:lang w:val="en-US" w:eastAsia="lv-LV"/>
        </w:rPr>
        <w:t xml:space="preserve">, </w:t>
      </w:r>
      <w:r>
        <w:rPr>
          <w:i/>
          <w:lang w:val="en-US" w:eastAsia="lv-LV"/>
        </w:rPr>
        <w:t>the Bidder can offer equivalent products or ensure compliance to the equivalent standards</w:t>
      </w:r>
      <w:r w:rsidR="00057B10" w:rsidRPr="00357A9F">
        <w:rPr>
          <w:i/>
          <w:lang w:val="en-US" w:eastAsia="lv-LV"/>
        </w:rPr>
        <w:t xml:space="preserve">, </w:t>
      </w:r>
      <w:r>
        <w:rPr>
          <w:i/>
          <w:lang w:val="en-US" w:eastAsia="lv-LV"/>
        </w:rPr>
        <w:t>which meet the requirements and parameters</w:t>
      </w:r>
      <w:r w:rsidRPr="00357A9F">
        <w:rPr>
          <w:i/>
          <w:lang w:val="en-US" w:eastAsia="lv-LV"/>
        </w:rPr>
        <w:t xml:space="preserve"> </w:t>
      </w:r>
      <w:r>
        <w:rPr>
          <w:i/>
          <w:lang w:val="en-US" w:eastAsia="lv-LV"/>
        </w:rPr>
        <w:t>of the technical specification and</w:t>
      </w:r>
      <w:r w:rsidR="00057B10" w:rsidRPr="00357A9F">
        <w:rPr>
          <w:i/>
          <w:lang w:val="en-US" w:eastAsia="lv-LV"/>
        </w:rPr>
        <w:t xml:space="preserve"> </w:t>
      </w:r>
      <w:r w:rsidR="008A3EDD">
        <w:rPr>
          <w:i/>
          <w:lang w:val="en-US" w:eastAsia="lv-LV"/>
        </w:rPr>
        <w:t xml:space="preserve">ensure performance </w:t>
      </w:r>
      <w:r w:rsidR="004F6033">
        <w:rPr>
          <w:i/>
          <w:lang w:val="en-US" w:eastAsia="lv-LV"/>
        </w:rPr>
        <w:t>required</w:t>
      </w:r>
      <w:r w:rsidR="008A3EDD">
        <w:rPr>
          <w:i/>
          <w:lang w:val="en-US" w:eastAsia="lv-LV"/>
        </w:rPr>
        <w:t xml:space="preserve"> in the technical specification</w:t>
      </w:r>
      <w:r w:rsidR="00057B10" w:rsidRPr="00357A9F">
        <w:rPr>
          <w:i/>
          <w:lang w:val="en-US" w:eastAsia="lv-LV"/>
        </w:rPr>
        <w:t xml:space="preserve">. </w:t>
      </w:r>
      <w:r w:rsidR="00274AE6">
        <w:rPr>
          <w:i/>
          <w:u w:val="single"/>
          <w:lang w:val="en-US" w:eastAsia="lv-LV"/>
        </w:rPr>
        <w:t>The Bidder is obliged to attest equivalence of the proposed material</w:t>
      </w:r>
      <w:r w:rsidR="00057B10" w:rsidRPr="00357A9F">
        <w:rPr>
          <w:i/>
          <w:u w:val="single"/>
          <w:lang w:val="en-US" w:eastAsia="lv-LV"/>
        </w:rPr>
        <w:t>.</w:t>
      </w:r>
      <w:r w:rsidR="00057B10" w:rsidRPr="00357A9F">
        <w:rPr>
          <w:i/>
          <w:lang w:val="en-US" w:eastAsia="lv-LV"/>
        </w:rPr>
        <w:t xml:space="preserve"> </w:t>
      </w:r>
    </w:p>
    <w:p w:rsidR="00057B10" w:rsidRPr="00357A9F" w:rsidRDefault="00274AE6" w:rsidP="00274AE6">
      <w:pPr>
        <w:tabs>
          <w:tab w:val="left" w:pos="3390"/>
        </w:tabs>
        <w:jc w:val="both"/>
        <w:rPr>
          <w:i/>
          <w:lang w:val="en-US" w:eastAsia="lv-LV"/>
        </w:rPr>
      </w:pPr>
      <w:r>
        <w:rPr>
          <w:i/>
          <w:lang w:val="en-US" w:eastAsia="lv-LV"/>
        </w:rPr>
        <w:tab/>
      </w:r>
    </w:p>
    <w:p w:rsidR="00057B10" w:rsidRPr="00357A9F" w:rsidRDefault="00357A9F" w:rsidP="00057B10">
      <w:pPr>
        <w:tabs>
          <w:tab w:val="left" w:pos="900"/>
        </w:tabs>
        <w:jc w:val="both"/>
        <w:rPr>
          <w:i/>
          <w:lang w:val="en-US" w:eastAsia="lv-LV"/>
        </w:rPr>
      </w:pPr>
      <w:r>
        <w:rPr>
          <w:i/>
          <w:lang w:val="en-US" w:eastAsia="lv-LV"/>
        </w:rPr>
        <w:t xml:space="preserve">The Customer is entitled to require the Bidder to present samples of the goods or </w:t>
      </w:r>
      <w:r w:rsidR="00274AE6">
        <w:rPr>
          <w:i/>
          <w:lang w:val="en-US" w:eastAsia="lv-LV"/>
        </w:rPr>
        <w:t>fabrics</w:t>
      </w:r>
      <w:r w:rsidR="00057B10" w:rsidRPr="00357A9F">
        <w:rPr>
          <w:i/>
          <w:lang w:val="en-US" w:eastAsia="lv-LV"/>
        </w:rPr>
        <w:t>.</w:t>
      </w:r>
    </w:p>
    <w:p w:rsidR="00057B10" w:rsidRPr="00357A9F" w:rsidRDefault="00057B10" w:rsidP="00057B10">
      <w:pPr>
        <w:rPr>
          <w:lang w:val="en-US" w:eastAsia="lv-LV"/>
        </w:rPr>
      </w:pPr>
    </w:p>
    <w:tbl>
      <w:tblPr>
        <w:tblStyle w:val="TableGrid"/>
        <w:tblW w:w="14040" w:type="dxa"/>
        <w:tblInd w:w="-5" w:type="dxa"/>
        <w:tblLayout w:type="fixed"/>
        <w:tblLook w:val="04A0" w:firstRow="1" w:lastRow="0" w:firstColumn="1" w:lastColumn="0" w:noHBand="0" w:noVBand="1"/>
      </w:tblPr>
      <w:tblGrid>
        <w:gridCol w:w="630"/>
        <w:gridCol w:w="3510"/>
        <w:gridCol w:w="1620"/>
        <w:gridCol w:w="1260"/>
        <w:gridCol w:w="4770"/>
        <w:gridCol w:w="2250"/>
      </w:tblGrid>
      <w:tr w:rsidR="006F254B" w:rsidRPr="00357A9F" w:rsidTr="006F254B">
        <w:tc>
          <w:tcPr>
            <w:tcW w:w="630" w:type="dxa"/>
            <w:vMerge w:val="restart"/>
            <w:vAlign w:val="center"/>
          </w:tcPr>
          <w:p w:rsidR="006F254B" w:rsidRPr="00357A9F" w:rsidRDefault="006F254B" w:rsidP="0034593D">
            <w:pPr>
              <w:jc w:val="center"/>
              <w:rPr>
                <w:b/>
                <w:lang w:val="en-US"/>
              </w:rPr>
            </w:pPr>
            <w:r w:rsidRPr="00357A9F">
              <w:rPr>
                <w:b/>
                <w:lang w:val="en-US"/>
              </w:rPr>
              <w:t xml:space="preserve">No. </w:t>
            </w:r>
          </w:p>
        </w:tc>
        <w:tc>
          <w:tcPr>
            <w:tcW w:w="3510" w:type="dxa"/>
            <w:vMerge w:val="restart"/>
            <w:vAlign w:val="center"/>
          </w:tcPr>
          <w:p w:rsidR="006F254B" w:rsidRPr="00357A9F" w:rsidRDefault="006F254B" w:rsidP="00A06536">
            <w:pPr>
              <w:jc w:val="center"/>
              <w:rPr>
                <w:b/>
                <w:lang w:val="en-US"/>
              </w:rPr>
            </w:pPr>
            <w:r>
              <w:rPr>
                <w:b/>
                <w:lang w:val="en-US"/>
              </w:rPr>
              <w:t>Description of the M</w:t>
            </w:r>
            <w:r w:rsidRPr="00357A9F">
              <w:rPr>
                <w:b/>
                <w:lang w:val="en-US"/>
              </w:rPr>
              <w:t>aterial</w:t>
            </w:r>
          </w:p>
        </w:tc>
        <w:tc>
          <w:tcPr>
            <w:tcW w:w="2880" w:type="dxa"/>
            <w:gridSpan w:val="2"/>
            <w:vAlign w:val="center"/>
          </w:tcPr>
          <w:p w:rsidR="006F254B" w:rsidRPr="00357A9F" w:rsidRDefault="006F254B" w:rsidP="00A06536">
            <w:pPr>
              <w:jc w:val="center"/>
              <w:rPr>
                <w:b/>
                <w:lang w:val="en-US"/>
              </w:rPr>
            </w:pPr>
            <w:r w:rsidRPr="00357A9F">
              <w:rPr>
                <w:b/>
                <w:lang w:val="en-US"/>
              </w:rPr>
              <w:t xml:space="preserve">Quantity </w:t>
            </w:r>
          </w:p>
        </w:tc>
        <w:tc>
          <w:tcPr>
            <w:tcW w:w="4770" w:type="dxa"/>
            <w:vMerge w:val="restart"/>
          </w:tcPr>
          <w:p w:rsidR="006F254B" w:rsidRPr="00357A9F" w:rsidRDefault="006F254B" w:rsidP="00A06536">
            <w:pPr>
              <w:jc w:val="center"/>
              <w:rPr>
                <w:b/>
                <w:lang w:val="en-US"/>
              </w:rPr>
            </w:pPr>
            <w:r>
              <w:rPr>
                <w:b/>
                <w:lang w:val="en-US"/>
              </w:rPr>
              <w:t>Bidder’s</w:t>
            </w:r>
            <w:r w:rsidRPr="00357A9F">
              <w:rPr>
                <w:b/>
                <w:lang w:val="en-US"/>
              </w:rPr>
              <w:t xml:space="preserve"> </w:t>
            </w:r>
            <w:r>
              <w:rPr>
                <w:b/>
                <w:lang w:val="en-US"/>
              </w:rPr>
              <w:t>Proposal</w:t>
            </w:r>
          </w:p>
          <w:p w:rsidR="006F254B" w:rsidRPr="00357A9F" w:rsidRDefault="006F254B" w:rsidP="00A06536">
            <w:pPr>
              <w:jc w:val="center"/>
              <w:rPr>
                <w:sz w:val="20"/>
                <w:lang w:val="en-US"/>
              </w:rPr>
            </w:pPr>
            <w:r w:rsidRPr="00357A9F">
              <w:rPr>
                <w:sz w:val="20"/>
                <w:lang w:val="en-US"/>
              </w:rPr>
              <w:t>It is necessary to specify:</w:t>
            </w:r>
          </w:p>
          <w:p w:rsidR="006F254B" w:rsidRPr="00357A9F" w:rsidRDefault="006F254B" w:rsidP="00A06536">
            <w:pPr>
              <w:jc w:val="center"/>
              <w:rPr>
                <w:sz w:val="20"/>
                <w:lang w:val="en-US"/>
              </w:rPr>
            </w:pPr>
            <w:r w:rsidRPr="00357A9F">
              <w:rPr>
                <w:sz w:val="20"/>
                <w:lang w:val="en-US"/>
              </w:rPr>
              <w:t xml:space="preserve">- the manufacturer of the </w:t>
            </w:r>
            <w:r>
              <w:rPr>
                <w:sz w:val="20"/>
                <w:lang w:val="en-US"/>
              </w:rPr>
              <w:t>products</w:t>
            </w:r>
            <w:r w:rsidRPr="00357A9F">
              <w:rPr>
                <w:sz w:val="20"/>
                <w:lang w:val="en-US"/>
              </w:rPr>
              <w:t xml:space="preserve">. </w:t>
            </w:r>
            <w:r>
              <w:rPr>
                <w:sz w:val="20"/>
                <w:lang w:val="en-US"/>
              </w:rPr>
              <w:t>If</w:t>
            </w:r>
            <w:r w:rsidRPr="00357A9F">
              <w:rPr>
                <w:sz w:val="20"/>
                <w:lang w:val="en-US"/>
              </w:rPr>
              <w:t xml:space="preserve"> the </w:t>
            </w:r>
            <w:r>
              <w:rPr>
                <w:sz w:val="20"/>
                <w:lang w:val="en-US"/>
              </w:rPr>
              <w:t>products</w:t>
            </w:r>
            <w:r w:rsidRPr="00357A9F">
              <w:rPr>
                <w:sz w:val="20"/>
                <w:lang w:val="en-US"/>
              </w:rPr>
              <w:t xml:space="preserve"> </w:t>
            </w:r>
            <w:r>
              <w:rPr>
                <w:sz w:val="20"/>
                <w:lang w:val="en-US"/>
              </w:rPr>
              <w:t>are manufactured by</w:t>
            </w:r>
            <w:r w:rsidRPr="00357A9F">
              <w:rPr>
                <w:sz w:val="20"/>
                <w:lang w:val="en-US"/>
              </w:rPr>
              <w:t xml:space="preserve"> the </w:t>
            </w:r>
            <w:r>
              <w:rPr>
                <w:sz w:val="20"/>
                <w:lang w:val="en-US"/>
              </w:rPr>
              <w:t>Bidder</w:t>
            </w:r>
            <w:r w:rsidRPr="00357A9F">
              <w:rPr>
                <w:sz w:val="20"/>
                <w:lang w:val="en-US"/>
              </w:rPr>
              <w:t xml:space="preserve">, it </w:t>
            </w:r>
            <w:r>
              <w:rPr>
                <w:sz w:val="20"/>
                <w:lang w:val="en-US"/>
              </w:rPr>
              <w:t>shall be specified</w:t>
            </w:r>
            <w:r w:rsidRPr="00357A9F">
              <w:rPr>
                <w:sz w:val="20"/>
                <w:lang w:val="en-US"/>
              </w:rPr>
              <w:t xml:space="preserve"> in the </w:t>
            </w:r>
            <w:r>
              <w:rPr>
                <w:sz w:val="20"/>
                <w:lang w:val="en-US"/>
              </w:rPr>
              <w:t>proposal</w:t>
            </w:r>
            <w:r w:rsidRPr="00357A9F">
              <w:rPr>
                <w:sz w:val="20"/>
                <w:lang w:val="en-US"/>
              </w:rPr>
              <w:t>;</w:t>
            </w:r>
          </w:p>
          <w:p w:rsidR="006F254B" w:rsidRPr="00357A9F" w:rsidRDefault="006F254B" w:rsidP="00A06536">
            <w:pPr>
              <w:jc w:val="center"/>
              <w:rPr>
                <w:sz w:val="20"/>
                <w:lang w:val="en-US"/>
              </w:rPr>
            </w:pPr>
            <w:r w:rsidRPr="00357A9F">
              <w:rPr>
                <w:sz w:val="20"/>
                <w:lang w:val="en-US"/>
              </w:rPr>
              <w:lastRenderedPageBreak/>
              <w:t xml:space="preserve">- </w:t>
            </w:r>
            <w:r>
              <w:rPr>
                <w:sz w:val="20"/>
                <w:lang w:val="en-US"/>
              </w:rPr>
              <w:t>technical information on each proposed product</w:t>
            </w:r>
            <w:r w:rsidRPr="00357A9F">
              <w:rPr>
                <w:sz w:val="20"/>
                <w:lang w:val="en-US"/>
              </w:rPr>
              <w:t xml:space="preserve">, which </w:t>
            </w:r>
            <w:r>
              <w:rPr>
                <w:sz w:val="20"/>
                <w:lang w:val="en-US"/>
              </w:rPr>
              <w:t>attests its compliance with each requirement (parameter) of the technical specification</w:t>
            </w:r>
            <w:r w:rsidRPr="00357A9F">
              <w:rPr>
                <w:sz w:val="20"/>
                <w:lang w:val="en-US"/>
              </w:rPr>
              <w:t xml:space="preserve">. </w:t>
            </w:r>
            <w:r>
              <w:rPr>
                <w:sz w:val="20"/>
                <w:lang w:val="en-US"/>
              </w:rPr>
              <w:t>The field completed by the Bidder</w:t>
            </w:r>
            <w:r w:rsidRPr="00357A9F">
              <w:rPr>
                <w:sz w:val="20"/>
                <w:lang w:val="en-US"/>
              </w:rPr>
              <w:t xml:space="preserve">, </w:t>
            </w:r>
            <w:r>
              <w:rPr>
                <w:sz w:val="20"/>
                <w:lang w:val="en-US"/>
              </w:rPr>
              <w:t xml:space="preserve">which contains inscription </w:t>
            </w:r>
            <w:r w:rsidRPr="00357A9F">
              <w:rPr>
                <w:sz w:val="20"/>
                <w:lang w:val="en-US"/>
              </w:rPr>
              <w:t>“complies”</w:t>
            </w:r>
            <w:r>
              <w:rPr>
                <w:sz w:val="20"/>
                <w:lang w:val="en-US"/>
              </w:rPr>
              <w:t xml:space="preserve"> only, shall be considered as providing insufficient information</w:t>
            </w:r>
            <w:r w:rsidRPr="00357A9F">
              <w:rPr>
                <w:sz w:val="20"/>
                <w:lang w:val="en-US"/>
              </w:rPr>
              <w:t>;</w:t>
            </w:r>
          </w:p>
          <w:p w:rsidR="006F254B" w:rsidRPr="00357A9F" w:rsidRDefault="006F254B" w:rsidP="00546BA6">
            <w:pPr>
              <w:jc w:val="center"/>
              <w:rPr>
                <w:b/>
                <w:lang w:val="en-US"/>
              </w:rPr>
            </w:pPr>
            <w:r w:rsidRPr="00357A9F">
              <w:rPr>
                <w:sz w:val="20"/>
                <w:lang w:val="en-US"/>
              </w:rPr>
              <w:t xml:space="preserve">- </w:t>
            </w:r>
            <w:r>
              <w:rPr>
                <w:sz w:val="20"/>
                <w:lang w:val="en-US"/>
              </w:rPr>
              <w:t>page and item</w:t>
            </w:r>
            <w:r w:rsidRPr="00357A9F">
              <w:rPr>
                <w:sz w:val="20"/>
                <w:lang w:val="en-US"/>
              </w:rPr>
              <w:t xml:space="preserve"> </w:t>
            </w:r>
            <w:r>
              <w:rPr>
                <w:sz w:val="20"/>
                <w:lang w:val="en-US"/>
              </w:rPr>
              <w:t>in the manufacturer’s documentation</w:t>
            </w:r>
            <w:r w:rsidRPr="00357A9F">
              <w:rPr>
                <w:sz w:val="20"/>
                <w:lang w:val="en-US"/>
              </w:rPr>
              <w:t xml:space="preserve">, </w:t>
            </w:r>
            <w:r>
              <w:rPr>
                <w:sz w:val="20"/>
                <w:lang w:val="en-US"/>
              </w:rPr>
              <w:t>which is attached to the proposal</w:t>
            </w:r>
            <w:r w:rsidRPr="00357A9F">
              <w:rPr>
                <w:sz w:val="20"/>
                <w:lang w:val="en-US"/>
              </w:rPr>
              <w:t xml:space="preserve">, </w:t>
            </w:r>
            <w:r>
              <w:rPr>
                <w:sz w:val="20"/>
                <w:lang w:val="en-US"/>
              </w:rPr>
              <w:t>or a reference to</w:t>
            </w:r>
            <w:r w:rsidRPr="00357A9F">
              <w:rPr>
                <w:sz w:val="20"/>
                <w:lang w:val="en-US"/>
              </w:rPr>
              <w:t xml:space="preserve"> </w:t>
            </w:r>
            <w:r>
              <w:rPr>
                <w:sz w:val="20"/>
                <w:lang w:val="en-US"/>
              </w:rPr>
              <w:t>manufacturer’s home page</w:t>
            </w:r>
            <w:r w:rsidRPr="00357A9F">
              <w:rPr>
                <w:sz w:val="20"/>
                <w:lang w:val="en-US"/>
              </w:rPr>
              <w:t xml:space="preserve"> (link), </w:t>
            </w:r>
            <w:r>
              <w:rPr>
                <w:sz w:val="20"/>
                <w:lang w:val="en-US"/>
              </w:rPr>
              <w:t>which allows concluding whether the proposed product parameter complies with the requirements.</w:t>
            </w:r>
            <w:r w:rsidRPr="00357A9F">
              <w:rPr>
                <w:sz w:val="20"/>
                <w:lang w:val="en-US"/>
              </w:rPr>
              <w:t xml:space="preserve"> </w:t>
            </w:r>
            <w:r>
              <w:rPr>
                <w:sz w:val="20"/>
                <w:lang w:val="en-US"/>
              </w:rPr>
              <w:t>If such information is not available, it is necessary to specify the reason for its absence</w:t>
            </w:r>
            <w:r w:rsidRPr="00357A9F">
              <w:rPr>
                <w:sz w:val="20"/>
                <w:lang w:val="en-US"/>
              </w:rPr>
              <w:t>.</w:t>
            </w:r>
          </w:p>
        </w:tc>
        <w:tc>
          <w:tcPr>
            <w:tcW w:w="2250" w:type="dxa"/>
            <w:vMerge w:val="restart"/>
          </w:tcPr>
          <w:p w:rsidR="006F254B" w:rsidRPr="00A82744" w:rsidRDefault="006F254B" w:rsidP="006F254B">
            <w:pPr>
              <w:jc w:val="center"/>
              <w:rPr>
                <w:rFonts w:eastAsia="Cambria"/>
                <w:b/>
                <w:bCs/>
                <w:i/>
                <w:sz w:val="22"/>
                <w:szCs w:val="22"/>
              </w:rPr>
            </w:pPr>
            <w:r w:rsidRPr="00A82744">
              <w:rPr>
                <w:b/>
                <w:i/>
                <w:sz w:val="22"/>
              </w:rPr>
              <w:lastRenderedPageBreak/>
              <w:t xml:space="preserve">Price for one unit, EUR (no VAT) </w:t>
            </w:r>
          </w:p>
          <w:p w:rsidR="006F254B" w:rsidRDefault="006F254B" w:rsidP="006F254B">
            <w:pPr>
              <w:jc w:val="center"/>
              <w:rPr>
                <w:b/>
                <w:lang w:val="en-US"/>
              </w:rPr>
            </w:pPr>
            <w:r w:rsidRPr="00A82744">
              <w:rPr>
                <w:i/>
                <w:sz w:val="22"/>
              </w:rPr>
              <w:t>Price indicated only for 1m of Goods.</w:t>
            </w:r>
          </w:p>
        </w:tc>
      </w:tr>
      <w:tr w:rsidR="006F254B" w:rsidRPr="008E1A4B" w:rsidTr="006F254B">
        <w:tc>
          <w:tcPr>
            <w:tcW w:w="630" w:type="dxa"/>
            <w:vMerge/>
            <w:vAlign w:val="center"/>
          </w:tcPr>
          <w:p w:rsidR="006F254B" w:rsidRPr="008E1A4B" w:rsidRDefault="006F254B" w:rsidP="00A06536">
            <w:pPr>
              <w:jc w:val="center"/>
              <w:rPr>
                <w:b/>
              </w:rPr>
            </w:pPr>
          </w:p>
        </w:tc>
        <w:tc>
          <w:tcPr>
            <w:tcW w:w="3510" w:type="dxa"/>
            <w:vMerge/>
            <w:vAlign w:val="center"/>
          </w:tcPr>
          <w:p w:rsidR="006F254B" w:rsidRPr="00C30A34" w:rsidRDefault="006F254B" w:rsidP="00A06536">
            <w:pPr>
              <w:jc w:val="center"/>
              <w:rPr>
                <w:b/>
                <w:lang w:val="lv-LV"/>
              </w:rPr>
            </w:pPr>
          </w:p>
        </w:tc>
        <w:tc>
          <w:tcPr>
            <w:tcW w:w="1620" w:type="dxa"/>
            <w:vAlign w:val="center"/>
          </w:tcPr>
          <w:p w:rsidR="006F254B" w:rsidRPr="003F2106" w:rsidRDefault="006F254B" w:rsidP="00A06536">
            <w:pPr>
              <w:ind w:right="-183"/>
              <w:rPr>
                <w:b/>
                <w:lang w:val="en-US"/>
              </w:rPr>
            </w:pPr>
            <w:r w:rsidRPr="003F2106">
              <w:rPr>
                <w:b/>
                <w:lang w:val="en-US"/>
              </w:rPr>
              <w:t>minimum</w:t>
            </w:r>
          </w:p>
          <w:p w:rsidR="006F254B" w:rsidRPr="003F2106" w:rsidRDefault="006F254B" w:rsidP="003F2106">
            <w:pPr>
              <w:ind w:right="-183"/>
              <w:rPr>
                <w:b/>
                <w:lang w:val="en-US"/>
              </w:rPr>
            </w:pPr>
            <w:r w:rsidRPr="003F2106">
              <w:rPr>
                <w:i/>
                <w:sz w:val="20"/>
                <w:lang w:val="en-US"/>
              </w:rPr>
              <w:t>(minimum order volume placing the first order)</w:t>
            </w:r>
          </w:p>
        </w:tc>
        <w:tc>
          <w:tcPr>
            <w:tcW w:w="1260" w:type="dxa"/>
          </w:tcPr>
          <w:p w:rsidR="006F254B" w:rsidRPr="003F2106" w:rsidRDefault="006F254B" w:rsidP="00A06536">
            <w:pPr>
              <w:rPr>
                <w:b/>
                <w:lang w:val="en-US"/>
              </w:rPr>
            </w:pPr>
          </w:p>
          <w:p w:rsidR="006F254B" w:rsidRPr="003F2106" w:rsidRDefault="006F254B" w:rsidP="00A06536">
            <w:pPr>
              <w:rPr>
                <w:b/>
                <w:lang w:val="en-US"/>
              </w:rPr>
            </w:pPr>
            <w:r w:rsidRPr="003F2106">
              <w:rPr>
                <w:b/>
                <w:lang w:val="en-US"/>
              </w:rPr>
              <w:t>maximum</w:t>
            </w:r>
          </w:p>
        </w:tc>
        <w:tc>
          <w:tcPr>
            <w:tcW w:w="4770" w:type="dxa"/>
            <w:vMerge/>
          </w:tcPr>
          <w:p w:rsidR="006F254B" w:rsidRDefault="006F254B" w:rsidP="00A06536">
            <w:pPr>
              <w:jc w:val="center"/>
              <w:rPr>
                <w:b/>
              </w:rPr>
            </w:pPr>
          </w:p>
        </w:tc>
        <w:tc>
          <w:tcPr>
            <w:tcW w:w="2250" w:type="dxa"/>
            <w:vMerge/>
          </w:tcPr>
          <w:p w:rsidR="006F254B" w:rsidRDefault="006F254B" w:rsidP="00A06536">
            <w:pPr>
              <w:jc w:val="center"/>
              <w:rPr>
                <w:b/>
              </w:rPr>
            </w:pPr>
          </w:p>
        </w:tc>
      </w:tr>
      <w:tr w:rsidR="006F254B" w:rsidRPr="008E1A4B" w:rsidTr="006F254B">
        <w:tc>
          <w:tcPr>
            <w:tcW w:w="630" w:type="dxa"/>
          </w:tcPr>
          <w:p w:rsidR="006F254B" w:rsidRPr="008E1A4B" w:rsidRDefault="006F254B" w:rsidP="00A06536">
            <w:r>
              <w:t>1</w:t>
            </w:r>
          </w:p>
        </w:tc>
        <w:tc>
          <w:tcPr>
            <w:tcW w:w="3510" w:type="dxa"/>
          </w:tcPr>
          <w:p w:rsidR="006F254B" w:rsidRPr="005D1F47" w:rsidRDefault="006F254B" w:rsidP="00A06536">
            <w:pPr>
              <w:rPr>
                <w:lang w:val="en-US"/>
              </w:rPr>
            </w:pPr>
            <w:r w:rsidRPr="005D1F47">
              <w:rPr>
                <w:lang w:val="en-US"/>
              </w:rPr>
              <w:t xml:space="preserve">Type of textile – </w:t>
            </w:r>
            <w:r>
              <w:rPr>
                <w:lang w:val="en-US"/>
              </w:rPr>
              <w:t>colored fabric</w:t>
            </w:r>
          </w:p>
          <w:p w:rsidR="006F254B" w:rsidRPr="005D1F47" w:rsidRDefault="006F254B" w:rsidP="00A06536">
            <w:pPr>
              <w:rPr>
                <w:lang w:val="en-US"/>
              </w:rPr>
            </w:pPr>
            <w:r w:rsidRPr="005D1F47">
              <w:rPr>
                <w:lang w:val="en-US"/>
              </w:rPr>
              <w:t>Fiber composition: 6</w:t>
            </w:r>
            <w:r>
              <w:rPr>
                <w:lang w:val="en-US"/>
              </w:rPr>
              <w:t>4</w:t>
            </w:r>
            <w:r w:rsidRPr="005D1F47">
              <w:rPr>
                <w:lang w:val="en-US"/>
              </w:rPr>
              <w:t>% polyester, 3</w:t>
            </w:r>
            <w:r>
              <w:rPr>
                <w:lang w:val="en-US"/>
              </w:rPr>
              <w:t>3</w:t>
            </w:r>
            <w:r w:rsidRPr="005D1F47">
              <w:rPr>
                <w:lang w:val="en-US"/>
              </w:rPr>
              <w:t xml:space="preserve">% cotton, </w:t>
            </w:r>
            <w:r>
              <w:rPr>
                <w:lang w:val="en-US"/>
              </w:rPr>
              <w:t>3</w:t>
            </w:r>
            <w:r w:rsidRPr="005D1F47">
              <w:rPr>
                <w:lang w:val="en-US"/>
              </w:rPr>
              <w:t xml:space="preserve">% </w:t>
            </w:r>
            <w:r>
              <w:rPr>
                <w:lang w:val="en-US"/>
              </w:rPr>
              <w:t>elastane</w:t>
            </w:r>
          </w:p>
          <w:p w:rsidR="006F254B" w:rsidRPr="005D1F47" w:rsidRDefault="006F254B" w:rsidP="00A06536">
            <w:pPr>
              <w:rPr>
                <w:lang w:val="en-US"/>
              </w:rPr>
            </w:pPr>
            <w:r>
              <w:rPr>
                <w:lang w:val="en-US"/>
              </w:rPr>
              <w:t xml:space="preserve">Usable fabric width </w:t>
            </w:r>
            <w:r w:rsidRPr="005D1F47">
              <w:rPr>
                <w:lang w:val="en-US"/>
              </w:rPr>
              <w:t>– not less than 145 cm and not more than 200 cm</w:t>
            </w:r>
          </w:p>
          <w:p w:rsidR="006F254B" w:rsidRPr="005D1F47" w:rsidRDefault="006F254B" w:rsidP="00A06536">
            <w:pPr>
              <w:rPr>
                <w:lang w:val="en-US"/>
              </w:rPr>
            </w:pPr>
            <w:r w:rsidRPr="005D1F47">
              <w:rPr>
                <w:lang w:val="en-US"/>
              </w:rPr>
              <w:t>1m</w:t>
            </w:r>
            <w:r w:rsidRPr="005D1F47">
              <w:rPr>
                <w:vertAlign w:val="superscript"/>
                <w:lang w:val="en-US"/>
              </w:rPr>
              <w:t>2</w:t>
            </w:r>
            <w:r w:rsidRPr="005D1F47">
              <w:rPr>
                <w:lang w:val="en-US"/>
              </w:rPr>
              <w:t xml:space="preserve"> mass </w:t>
            </w:r>
            <w:r>
              <w:rPr>
                <w:lang w:val="en-US"/>
              </w:rPr>
              <w:t>– 265</w:t>
            </w:r>
            <w:r w:rsidRPr="005D1F47">
              <w:rPr>
                <w:lang w:val="en-US"/>
              </w:rPr>
              <w:t>g ± 5%</w:t>
            </w:r>
          </w:p>
          <w:p w:rsidR="006F254B" w:rsidRPr="005D1F47" w:rsidRDefault="006F254B" w:rsidP="00546BA6">
            <w:pPr>
              <w:rPr>
                <w:lang w:val="en-US"/>
              </w:rPr>
            </w:pPr>
            <w:r>
              <w:rPr>
                <w:lang w:val="en-US"/>
              </w:rPr>
              <w:t xml:space="preserve">Fabric weave </w:t>
            </w:r>
            <w:r w:rsidRPr="005D1F47">
              <w:rPr>
                <w:lang w:val="en-US"/>
              </w:rPr>
              <w:t xml:space="preserve">– </w:t>
            </w:r>
            <w:r>
              <w:rPr>
                <w:lang w:val="en-US"/>
              </w:rPr>
              <w:t>twill</w:t>
            </w:r>
          </w:p>
        </w:tc>
        <w:tc>
          <w:tcPr>
            <w:tcW w:w="1620" w:type="dxa"/>
          </w:tcPr>
          <w:p w:rsidR="006F254B" w:rsidRPr="005D1F47" w:rsidRDefault="006F254B" w:rsidP="00A06536">
            <w:pPr>
              <w:rPr>
                <w:lang w:val="en-US"/>
              </w:rPr>
            </w:pPr>
            <w:r w:rsidRPr="005D1F47">
              <w:rPr>
                <w:lang w:val="en-US"/>
              </w:rPr>
              <w:t>7 m</w:t>
            </w:r>
          </w:p>
        </w:tc>
        <w:tc>
          <w:tcPr>
            <w:tcW w:w="1260" w:type="dxa"/>
          </w:tcPr>
          <w:p w:rsidR="006F254B" w:rsidRPr="008E1A4B" w:rsidRDefault="006F254B" w:rsidP="00A06536">
            <w:r>
              <w:t>25 m</w:t>
            </w:r>
          </w:p>
        </w:tc>
        <w:tc>
          <w:tcPr>
            <w:tcW w:w="4770" w:type="dxa"/>
          </w:tcPr>
          <w:p w:rsidR="006F254B" w:rsidRDefault="006F254B" w:rsidP="00A06536"/>
        </w:tc>
        <w:tc>
          <w:tcPr>
            <w:tcW w:w="2250" w:type="dxa"/>
          </w:tcPr>
          <w:p w:rsidR="006F254B" w:rsidRDefault="006F254B" w:rsidP="00A06536"/>
        </w:tc>
      </w:tr>
      <w:tr w:rsidR="006F254B" w:rsidRPr="008E1A4B" w:rsidTr="006F254B">
        <w:tc>
          <w:tcPr>
            <w:tcW w:w="630" w:type="dxa"/>
          </w:tcPr>
          <w:p w:rsidR="006F254B" w:rsidRPr="008E1A4B" w:rsidRDefault="006F254B" w:rsidP="00A06536">
            <w:r>
              <w:t>2</w:t>
            </w:r>
          </w:p>
        </w:tc>
        <w:tc>
          <w:tcPr>
            <w:tcW w:w="3510" w:type="dxa"/>
          </w:tcPr>
          <w:p w:rsidR="006F254B" w:rsidRPr="005D1F47" w:rsidRDefault="006F254B" w:rsidP="00A06536">
            <w:pPr>
              <w:rPr>
                <w:lang w:val="en-US"/>
              </w:rPr>
            </w:pPr>
            <w:r w:rsidRPr="005D1F47">
              <w:rPr>
                <w:lang w:val="en-US"/>
              </w:rPr>
              <w:t xml:space="preserve">Type of textile – </w:t>
            </w:r>
            <w:r>
              <w:rPr>
                <w:lang w:val="en-US"/>
              </w:rPr>
              <w:t>colored fabric</w:t>
            </w:r>
            <w:r w:rsidRPr="005D1F47">
              <w:rPr>
                <w:lang w:val="en-US"/>
              </w:rPr>
              <w:t xml:space="preserve"> </w:t>
            </w:r>
            <w:r>
              <w:rPr>
                <w:lang w:val="en-US"/>
              </w:rPr>
              <w:t>with</w:t>
            </w:r>
            <w:r w:rsidRPr="005D1F47">
              <w:rPr>
                <w:lang w:val="en-US"/>
              </w:rPr>
              <w:t xml:space="preserve"> </w:t>
            </w:r>
            <w:r>
              <w:rPr>
                <w:lang w:val="en-US"/>
              </w:rPr>
              <w:t>polyurethane</w:t>
            </w:r>
            <w:r w:rsidRPr="005D1F47">
              <w:rPr>
                <w:lang w:val="en-US"/>
              </w:rPr>
              <w:t xml:space="preserve"> </w:t>
            </w:r>
            <w:r>
              <w:rPr>
                <w:lang w:val="en-US"/>
              </w:rPr>
              <w:t>coating</w:t>
            </w:r>
          </w:p>
          <w:p w:rsidR="006F254B" w:rsidRPr="005D1F47" w:rsidRDefault="006F254B" w:rsidP="00A06536">
            <w:pPr>
              <w:rPr>
                <w:lang w:val="en-US"/>
              </w:rPr>
            </w:pPr>
            <w:r w:rsidRPr="005D1F47">
              <w:rPr>
                <w:lang w:val="en-US"/>
              </w:rPr>
              <w:t>Fiber composition: 100% polyester</w:t>
            </w:r>
            <w:r>
              <w:rPr>
                <w:lang w:val="en-US"/>
              </w:rPr>
              <w:t xml:space="preserve"> </w:t>
            </w:r>
          </w:p>
          <w:p w:rsidR="006F254B" w:rsidRPr="005D1F47" w:rsidRDefault="006F254B" w:rsidP="00A06536">
            <w:pPr>
              <w:rPr>
                <w:lang w:val="en-US"/>
              </w:rPr>
            </w:pPr>
            <w:r>
              <w:rPr>
                <w:lang w:val="en-US"/>
              </w:rPr>
              <w:t xml:space="preserve">Usable fabric width </w:t>
            </w:r>
            <w:r w:rsidRPr="005D1F47">
              <w:rPr>
                <w:lang w:val="en-US"/>
              </w:rPr>
              <w:t>– not less than 145 cm and not more than 200 cm</w:t>
            </w:r>
          </w:p>
          <w:p w:rsidR="006F254B" w:rsidRPr="005D1F47" w:rsidRDefault="006F254B" w:rsidP="00A06536">
            <w:pPr>
              <w:rPr>
                <w:lang w:val="en-US"/>
              </w:rPr>
            </w:pPr>
            <w:r w:rsidRPr="005D1F47">
              <w:rPr>
                <w:lang w:val="en-US"/>
              </w:rPr>
              <w:t>1 m</w:t>
            </w:r>
            <w:r w:rsidRPr="005D1F47">
              <w:rPr>
                <w:vertAlign w:val="superscript"/>
                <w:lang w:val="en-US"/>
              </w:rPr>
              <w:t>2</w:t>
            </w:r>
            <w:r w:rsidRPr="005D1F47">
              <w:rPr>
                <w:lang w:val="en-US"/>
              </w:rPr>
              <w:t xml:space="preserve"> mass – 1</w:t>
            </w:r>
            <w:r>
              <w:rPr>
                <w:lang w:val="en-US"/>
              </w:rPr>
              <w:t>30</w:t>
            </w:r>
            <w:r w:rsidRPr="005D1F47">
              <w:rPr>
                <w:lang w:val="en-US"/>
              </w:rPr>
              <w:t>g ± 5%</w:t>
            </w:r>
          </w:p>
          <w:p w:rsidR="006F254B" w:rsidRPr="005D1F47" w:rsidRDefault="006F254B" w:rsidP="003D53DD">
            <w:pPr>
              <w:rPr>
                <w:lang w:val="en-US"/>
              </w:rPr>
            </w:pPr>
            <w:r>
              <w:rPr>
                <w:lang w:val="en-US"/>
              </w:rPr>
              <w:t xml:space="preserve">Fabric weave </w:t>
            </w:r>
            <w:r w:rsidRPr="005D1F47">
              <w:rPr>
                <w:lang w:val="en-US"/>
              </w:rPr>
              <w:t xml:space="preserve">– </w:t>
            </w:r>
            <w:r>
              <w:rPr>
                <w:lang w:val="en-US"/>
              </w:rPr>
              <w:t>plain weave</w:t>
            </w:r>
          </w:p>
        </w:tc>
        <w:tc>
          <w:tcPr>
            <w:tcW w:w="1620" w:type="dxa"/>
          </w:tcPr>
          <w:p w:rsidR="006F254B" w:rsidRPr="005D1F47" w:rsidRDefault="006F254B" w:rsidP="00A06536">
            <w:pPr>
              <w:rPr>
                <w:lang w:val="en-US"/>
              </w:rPr>
            </w:pPr>
            <w:r w:rsidRPr="005D1F47">
              <w:rPr>
                <w:lang w:val="en-US"/>
              </w:rPr>
              <w:t>7 m</w:t>
            </w:r>
          </w:p>
        </w:tc>
        <w:tc>
          <w:tcPr>
            <w:tcW w:w="1260" w:type="dxa"/>
          </w:tcPr>
          <w:p w:rsidR="006F254B" w:rsidRPr="008E1A4B" w:rsidRDefault="006F254B" w:rsidP="00A06536">
            <w:r>
              <w:t>25 m</w:t>
            </w:r>
          </w:p>
        </w:tc>
        <w:tc>
          <w:tcPr>
            <w:tcW w:w="4770" w:type="dxa"/>
          </w:tcPr>
          <w:p w:rsidR="006F254B" w:rsidRDefault="006F254B" w:rsidP="00A06536"/>
        </w:tc>
        <w:tc>
          <w:tcPr>
            <w:tcW w:w="2250" w:type="dxa"/>
          </w:tcPr>
          <w:p w:rsidR="006F254B" w:rsidRDefault="006F254B" w:rsidP="00A06536"/>
        </w:tc>
      </w:tr>
    </w:tbl>
    <w:tbl>
      <w:tblPr>
        <w:tblW w:w="14035" w:type="dxa"/>
        <w:tblLayout w:type="fixed"/>
        <w:tblLook w:val="04A0" w:firstRow="1" w:lastRow="0" w:firstColumn="1" w:lastColumn="0" w:noHBand="0" w:noVBand="1"/>
      </w:tblPr>
      <w:tblGrid>
        <w:gridCol w:w="11785"/>
        <w:gridCol w:w="2250"/>
      </w:tblGrid>
      <w:tr w:rsidR="006F254B" w:rsidRPr="00B76D52" w:rsidTr="006F254B">
        <w:trPr>
          <w:cantSplit/>
          <w:trHeight w:val="85"/>
        </w:trPr>
        <w:tc>
          <w:tcPr>
            <w:tcW w:w="11785" w:type="dxa"/>
            <w:tcBorders>
              <w:top w:val="nil"/>
              <w:left w:val="single" w:sz="4" w:space="0" w:color="auto"/>
              <w:bottom w:val="single" w:sz="4" w:space="0" w:color="auto"/>
              <w:right w:val="single" w:sz="4" w:space="0" w:color="auto"/>
            </w:tcBorders>
          </w:tcPr>
          <w:p w:rsidR="006F254B" w:rsidRPr="00A82744" w:rsidRDefault="006F254B" w:rsidP="006F254B">
            <w:pPr>
              <w:jc w:val="right"/>
              <w:rPr>
                <w:rFonts w:eastAsia="Cambria"/>
                <w:b/>
                <w:i/>
                <w:sz w:val="22"/>
                <w:szCs w:val="22"/>
              </w:rPr>
            </w:pPr>
            <w:r w:rsidRPr="00A82744">
              <w:rPr>
                <w:rFonts w:eastAsia="Cambria"/>
                <w:b/>
                <w:i/>
                <w:sz w:val="22"/>
                <w:szCs w:val="22"/>
              </w:rPr>
              <w:t>In total</w:t>
            </w:r>
            <w:r>
              <w:rPr>
                <w:rFonts w:eastAsia="Cambria"/>
                <w:b/>
                <w:i/>
                <w:sz w:val="22"/>
                <w:szCs w:val="22"/>
              </w:rPr>
              <w:t xml:space="preserve"> p</w:t>
            </w:r>
            <w:r w:rsidRPr="00A82744">
              <w:rPr>
                <w:b/>
                <w:i/>
                <w:sz w:val="22"/>
              </w:rPr>
              <w:t>rice for one unit, EUR (no VAT)</w:t>
            </w:r>
            <w:r w:rsidRPr="00A82744">
              <w:rPr>
                <w:rFonts w:eastAsia="Cambria"/>
                <w:b/>
                <w:i/>
                <w:sz w:val="22"/>
                <w:szCs w:val="22"/>
              </w:rPr>
              <w:t>:</w:t>
            </w:r>
          </w:p>
        </w:tc>
        <w:tc>
          <w:tcPr>
            <w:tcW w:w="2250" w:type="dxa"/>
            <w:tcBorders>
              <w:top w:val="nil"/>
              <w:left w:val="nil"/>
              <w:bottom w:val="single" w:sz="4" w:space="0" w:color="auto"/>
              <w:right w:val="single" w:sz="4" w:space="0" w:color="auto"/>
            </w:tcBorders>
          </w:tcPr>
          <w:p w:rsidR="006F254B" w:rsidRPr="00B76D52" w:rsidRDefault="006F254B" w:rsidP="006F254B">
            <w:pPr>
              <w:jc w:val="right"/>
              <w:rPr>
                <w:b/>
                <w:color w:val="000000"/>
              </w:rPr>
            </w:pPr>
          </w:p>
        </w:tc>
      </w:tr>
      <w:tr w:rsidR="006F254B" w:rsidRPr="00B76D52" w:rsidTr="00893B04">
        <w:trPr>
          <w:cantSplit/>
          <w:trHeight w:val="85"/>
        </w:trPr>
        <w:tc>
          <w:tcPr>
            <w:tcW w:w="11785" w:type="dxa"/>
            <w:tcBorders>
              <w:top w:val="nil"/>
              <w:left w:val="single" w:sz="4" w:space="0" w:color="auto"/>
              <w:bottom w:val="single" w:sz="4" w:space="0" w:color="auto"/>
              <w:right w:val="single" w:sz="4" w:space="0" w:color="auto"/>
            </w:tcBorders>
            <w:vAlign w:val="center"/>
          </w:tcPr>
          <w:p w:rsidR="006F254B" w:rsidRPr="00A82744" w:rsidRDefault="006F254B" w:rsidP="006F254B">
            <w:pPr>
              <w:jc w:val="right"/>
              <w:rPr>
                <w:rFonts w:eastAsia="Cambria"/>
                <w:b/>
                <w:bCs/>
                <w:i/>
                <w:sz w:val="22"/>
                <w:szCs w:val="22"/>
                <w:lang w:eastAsia="zh-CN"/>
              </w:rPr>
            </w:pPr>
            <w:r w:rsidRPr="00A82744">
              <w:rPr>
                <w:rFonts w:eastAsia="Cambria"/>
                <w:b/>
                <w:bCs/>
                <w:i/>
                <w:sz w:val="22"/>
                <w:szCs w:val="22"/>
                <w:lang w:eastAsia="zh-CN"/>
              </w:rPr>
              <w:t xml:space="preserve">VAT 21%: </w:t>
            </w:r>
          </w:p>
        </w:tc>
        <w:tc>
          <w:tcPr>
            <w:tcW w:w="2250" w:type="dxa"/>
            <w:tcBorders>
              <w:top w:val="nil"/>
              <w:left w:val="nil"/>
              <w:bottom w:val="single" w:sz="4" w:space="0" w:color="auto"/>
              <w:right w:val="single" w:sz="4" w:space="0" w:color="auto"/>
            </w:tcBorders>
          </w:tcPr>
          <w:p w:rsidR="006F254B" w:rsidRPr="00B76D52" w:rsidRDefault="006F254B" w:rsidP="006F254B">
            <w:pPr>
              <w:jc w:val="right"/>
              <w:rPr>
                <w:b/>
                <w:color w:val="000000"/>
              </w:rPr>
            </w:pPr>
          </w:p>
        </w:tc>
      </w:tr>
      <w:tr w:rsidR="006F254B" w:rsidRPr="00B76D52" w:rsidTr="00893B04">
        <w:trPr>
          <w:cantSplit/>
          <w:trHeight w:val="85"/>
        </w:trPr>
        <w:tc>
          <w:tcPr>
            <w:tcW w:w="11785" w:type="dxa"/>
            <w:tcBorders>
              <w:top w:val="nil"/>
              <w:left w:val="single" w:sz="4" w:space="0" w:color="auto"/>
              <w:bottom w:val="single" w:sz="4" w:space="0" w:color="auto"/>
              <w:right w:val="single" w:sz="4" w:space="0" w:color="auto"/>
            </w:tcBorders>
            <w:vAlign w:val="center"/>
          </w:tcPr>
          <w:p w:rsidR="006F254B" w:rsidRPr="00A82744" w:rsidRDefault="006F254B" w:rsidP="006F254B">
            <w:pPr>
              <w:jc w:val="right"/>
              <w:rPr>
                <w:rFonts w:eastAsia="Cambria"/>
                <w:b/>
                <w:bCs/>
                <w:i/>
                <w:sz w:val="22"/>
                <w:szCs w:val="22"/>
                <w:lang w:eastAsia="zh-CN"/>
              </w:rPr>
            </w:pPr>
            <w:r w:rsidRPr="00A82744">
              <w:rPr>
                <w:b/>
                <w:i/>
                <w:sz w:val="22"/>
              </w:rPr>
              <w:t>In total including VAT 21%:</w:t>
            </w:r>
          </w:p>
        </w:tc>
        <w:tc>
          <w:tcPr>
            <w:tcW w:w="2250" w:type="dxa"/>
            <w:tcBorders>
              <w:top w:val="nil"/>
              <w:left w:val="nil"/>
              <w:bottom w:val="single" w:sz="4" w:space="0" w:color="auto"/>
              <w:right w:val="single" w:sz="4" w:space="0" w:color="auto"/>
            </w:tcBorders>
          </w:tcPr>
          <w:p w:rsidR="006F254B" w:rsidRPr="00B76D52" w:rsidRDefault="006F254B" w:rsidP="006F254B">
            <w:pPr>
              <w:jc w:val="right"/>
              <w:rPr>
                <w:b/>
                <w:color w:val="000000"/>
              </w:rPr>
            </w:pPr>
          </w:p>
        </w:tc>
      </w:tr>
    </w:tbl>
    <w:p w:rsidR="00ED306B" w:rsidRPr="00ED306B" w:rsidRDefault="00ED306B" w:rsidP="00ED306B">
      <w:pPr>
        <w:jc w:val="both"/>
        <w:rPr>
          <w:rFonts w:eastAsia="Cambria"/>
          <w:i/>
          <w:color w:val="000000"/>
          <w:szCs w:val="22"/>
          <w:lang w:eastAsia="lv-LV"/>
        </w:rPr>
      </w:pPr>
      <w:r w:rsidRPr="00ED306B">
        <w:rPr>
          <w:rFonts w:eastAsia="Cambria"/>
          <w:i/>
          <w:color w:val="000000"/>
          <w:szCs w:val="22"/>
          <w:lang w:eastAsia="lv-LV"/>
        </w:rPr>
        <w:lastRenderedPageBreak/>
        <w:t>* All applicable taxes and duties, except VAT shall be included in the proposed price and it shall be indicated with an accuracy of two (2) digits after the decimal point. All the costs related to the fulfilment of the Contract, including transport costs up to the place of delivery,  possible price increase and all risks, shall be included in the proposed price.</w:t>
      </w:r>
    </w:p>
    <w:p w:rsidR="00057B10" w:rsidRPr="0000742D" w:rsidRDefault="00057B10" w:rsidP="00057B10">
      <w:pPr>
        <w:jc w:val="both"/>
        <w:rPr>
          <w:color w:val="000000"/>
          <w:szCs w:val="22"/>
          <w:lang w:eastAsia="lv-LV"/>
        </w:rPr>
      </w:pPr>
    </w:p>
    <w:p w:rsidR="00057B10" w:rsidRPr="004F6033" w:rsidRDefault="004F6033" w:rsidP="00057B10">
      <w:pPr>
        <w:jc w:val="both"/>
        <w:rPr>
          <w:color w:val="000000"/>
          <w:szCs w:val="22"/>
          <w:lang w:val="en-US" w:eastAsia="lv-LV"/>
        </w:rPr>
      </w:pPr>
      <w:r>
        <w:rPr>
          <w:color w:val="000000"/>
          <w:szCs w:val="22"/>
          <w:lang w:val="en-US" w:eastAsia="lv-LV"/>
        </w:rPr>
        <w:t>The Bidder</w:t>
      </w:r>
      <w:r w:rsidRPr="004F6033">
        <w:rPr>
          <w:color w:val="000000"/>
          <w:szCs w:val="22"/>
          <w:lang w:val="en-US" w:eastAsia="lv-LV"/>
        </w:rPr>
        <w:t xml:space="preserve"> shall complete the table</w:t>
      </w:r>
      <w:r>
        <w:rPr>
          <w:color w:val="000000"/>
          <w:szCs w:val="22"/>
          <w:lang w:val="en-US" w:eastAsia="lv-LV"/>
        </w:rPr>
        <w:t xml:space="preserve"> in order to confirm compliance with the general requirements of the Customer</w:t>
      </w:r>
      <w:r w:rsidR="00057B10" w:rsidRPr="004F6033">
        <w:rPr>
          <w:color w:val="000000"/>
          <w:szCs w:val="22"/>
          <w:lang w:val="en-US" w:eastAsia="lv-LV"/>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669"/>
        <w:gridCol w:w="3404"/>
      </w:tblGrid>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501ECA" w:rsidP="00A06536">
            <w:pPr>
              <w:jc w:val="both"/>
              <w:rPr>
                <w:lang w:val="en-US" w:eastAsia="lv-LV"/>
              </w:rPr>
            </w:pPr>
            <w:r w:rsidRPr="004F6033">
              <w:rPr>
                <w:lang w:val="en-US" w:eastAsia="lv-LV"/>
              </w:rPr>
              <w:t>No</w:t>
            </w:r>
            <w:r w:rsidR="00057B10" w:rsidRPr="004F6033">
              <w:rPr>
                <w:lang w:val="en-US" w:eastAsia="lv-LV"/>
              </w:rPr>
              <w:t>.</w:t>
            </w: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4F6033" w:rsidP="004F6033">
            <w:pPr>
              <w:jc w:val="center"/>
              <w:rPr>
                <w:rFonts w:eastAsia="Calibri"/>
                <w:lang w:val="en-US" w:eastAsia="lv-LV"/>
              </w:rPr>
            </w:pPr>
            <w:r>
              <w:rPr>
                <w:rFonts w:eastAsia="Calibri"/>
                <w:lang w:val="en-US" w:eastAsia="lv-LV"/>
              </w:rPr>
              <w:t xml:space="preserve">General Requirements </w:t>
            </w:r>
          </w:p>
        </w:tc>
        <w:tc>
          <w:tcPr>
            <w:tcW w:w="1220"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4F6033" w:rsidP="00A06536">
            <w:pPr>
              <w:jc w:val="center"/>
              <w:rPr>
                <w:rFonts w:eastAsia="Calibri"/>
                <w:lang w:val="en-US" w:eastAsia="lv-LV"/>
              </w:rPr>
            </w:pPr>
            <w:r>
              <w:rPr>
                <w:rFonts w:eastAsia="Calibri"/>
                <w:lang w:val="en-US" w:eastAsia="lv-LV"/>
              </w:rPr>
              <w:t xml:space="preserve">Bidder’s Confirmation </w:t>
            </w: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463B82" w:rsidP="002220B4">
            <w:pPr>
              <w:tabs>
                <w:tab w:val="left" w:pos="900"/>
              </w:tabs>
              <w:jc w:val="both"/>
              <w:rPr>
                <w:lang w:val="en-US" w:eastAsia="lv-LV"/>
              </w:rPr>
            </w:pPr>
            <w:r>
              <w:rPr>
                <w:lang w:val="en-US" w:eastAsia="lv-LV"/>
              </w:rPr>
              <w:t>The Bidder</w:t>
            </w:r>
            <w:r w:rsidRPr="004F6033">
              <w:rPr>
                <w:lang w:val="en-US" w:eastAsia="lv-LV"/>
              </w:rPr>
              <w:t xml:space="preserve"> </w:t>
            </w:r>
            <w:r>
              <w:rPr>
                <w:lang w:val="en-US" w:eastAsia="lv-LV"/>
              </w:rPr>
              <w:t>can ensure delivery of any product in</w:t>
            </w:r>
            <w:r w:rsidR="00057B10" w:rsidRPr="004F6033">
              <w:rPr>
                <w:lang w:val="en-US" w:eastAsia="lv-LV"/>
              </w:rPr>
              <w:t xml:space="preserve"> </w:t>
            </w:r>
            <w:r>
              <w:rPr>
                <w:lang w:val="en-US" w:eastAsia="lv-LV"/>
              </w:rPr>
              <w:t>the period not longer than</w:t>
            </w:r>
            <w:r w:rsidR="00057B10" w:rsidRPr="004F6033">
              <w:rPr>
                <w:lang w:val="en-US" w:eastAsia="lv-LV"/>
              </w:rPr>
              <w:t xml:space="preserve"> 30 (</w:t>
            </w:r>
            <w:r>
              <w:rPr>
                <w:lang w:val="en-US" w:eastAsia="lv-LV"/>
              </w:rPr>
              <w:t>thirty</w:t>
            </w:r>
            <w:r w:rsidR="00057B10" w:rsidRPr="004F6033">
              <w:rPr>
                <w:lang w:val="en-US" w:eastAsia="lv-LV"/>
              </w:rPr>
              <w:t xml:space="preserve">) </w:t>
            </w:r>
            <w:r>
              <w:rPr>
                <w:lang w:val="en-US" w:eastAsia="lv-LV"/>
              </w:rPr>
              <w:t>day</w:t>
            </w:r>
            <w:r w:rsidR="002220B4">
              <w:rPr>
                <w:lang w:val="en-US" w:eastAsia="lv-LV"/>
              </w:rPr>
              <w:t>s</w:t>
            </w:r>
            <w:r>
              <w:rPr>
                <w:lang w:val="en-US" w:eastAsia="lv-LV"/>
              </w:rPr>
              <w:t xml:space="preserve"> since the order date</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4F6033">
            <w:pPr>
              <w:jc w:val="center"/>
              <w:rPr>
                <w:rFonts w:eastAsia="Calibri"/>
                <w:i/>
                <w:lang w:val="en-US" w:eastAsia="lv-LV"/>
              </w:rPr>
            </w:pPr>
            <w:r w:rsidRPr="004F6033">
              <w:rPr>
                <w:rFonts w:eastAsia="Calibri"/>
                <w:i/>
                <w:lang w:val="en-US" w:eastAsia="lv-LV"/>
              </w:rPr>
              <w:t>&lt;</w:t>
            </w:r>
            <w:r w:rsidR="004F6033">
              <w:rPr>
                <w:rFonts w:eastAsia="Calibri"/>
                <w:i/>
                <w:lang w:val="en-US" w:eastAsia="lv-LV"/>
              </w:rPr>
              <w:t xml:space="preserve">it is necessary to specify a </w:t>
            </w:r>
            <w:r w:rsidRPr="004F6033">
              <w:rPr>
                <w:rFonts w:eastAsia="Calibri"/>
                <w:i/>
                <w:lang w:val="en-US" w:eastAsia="lv-LV"/>
              </w:rPr>
              <w:t xml:space="preserve"> </w:t>
            </w:r>
            <w:r w:rsidR="004F6033">
              <w:rPr>
                <w:rFonts w:eastAsia="Calibri"/>
                <w:i/>
                <w:lang w:val="en-US" w:eastAsia="lv-LV"/>
              </w:rPr>
              <w:t>definite proposed delivery time</w:t>
            </w:r>
            <w:r w:rsidRPr="004F6033">
              <w:rPr>
                <w:rFonts w:eastAsia="Calibri"/>
                <w:i/>
                <w:lang w:val="en-US" w:eastAsia="lv-LV"/>
              </w:rPr>
              <w:t>&gt;</w:t>
            </w: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463B82" w:rsidP="00463B82">
            <w:pPr>
              <w:tabs>
                <w:tab w:val="left" w:pos="900"/>
              </w:tabs>
              <w:jc w:val="both"/>
              <w:rPr>
                <w:lang w:val="en-US" w:eastAsia="lv-LV"/>
              </w:rPr>
            </w:pPr>
            <w:r>
              <w:rPr>
                <w:lang w:val="en-US" w:eastAsia="lv-LV"/>
              </w:rPr>
              <w:t xml:space="preserve">Warranty period of each product </w:t>
            </w:r>
            <w:r w:rsidR="00057B10" w:rsidRPr="004F6033">
              <w:rPr>
                <w:lang w:val="en-US" w:eastAsia="lv-LV"/>
              </w:rPr>
              <w:t xml:space="preserve">– </w:t>
            </w:r>
            <w:r w:rsidR="002C701D" w:rsidRPr="004F6033">
              <w:rPr>
                <w:lang w:val="en-US" w:eastAsia="lv-LV"/>
              </w:rPr>
              <w:t xml:space="preserve">not less than </w:t>
            </w:r>
            <w:r w:rsidR="00057B10" w:rsidRPr="004F6033">
              <w:rPr>
                <w:lang w:val="en-US" w:eastAsia="lv-LV"/>
              </w:rPr>
              <w:t xml:space="preserve">2 </w:t>
            </w:r>
            <w:r w:rsidR="002C701D" w:rsidRPr="004F6033">
              <w:rPr>
                <w:lang w:val="en-US" w:eastAsia="lv-LV"/>
              </w:rPr>
              <w:t>(two) years</w:t>
            </w:r>
            <w:r w:rsidR="00057B10" w:rsidRPr="004F6033">
              <w:rPr>
                <w:lang w:val="en-US" w:eastAsia="lv-LV"/>
              </w:rPr>
              <w:t xml:space="preserve">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4F6033">
            <w:pPr>
              <w:jc w:val="center"/>
              <w:rPr>
                <w:rFonts w:eastAsia="Calibri"/>
                <w:i/>
                <w:lang w:val="en-US" w:eastAsia="lv-LV"/>
              </w:rPr>
            </w:pPr>
            <w:r w:rsidRPr="004F6033">
              <w:rPr>
                <w:rFonts w:eastAsia="Calibri"/>
                <w:i/>
                <w:lang w:val="en-US" w:eastAsia="lv-LV"/>
              </w:rPr>
              <w:t>&lt;</w:t>
            </w:r>
            <w:r w:rsidR="004F6033">
              <w:rPr>
                <w:rFonts w:eastAsia="Calibri"/>
                <w:i/>
                <w:lang w:val="en-US" w:eastAsia="lv-LV"/>
              </w:rPr>
              <w:t xml:space="preserve"> it is necessary to specify a </w:t>
            </w:r>
            <w:r w:rsidR="004F6033" w:rsidRPr="004F6033">
              <w:rPr>
                <w:rFonts w:eastAsia="Calibri"/>
                <w:i/>
                <w:lang w:val="en-US" w:eastAsia="lv-LV"/>
              </w:rPr>
              <w:t xml:space="preserve"> </w:t>
            </w:r>
            <w:r w:rsidR="004F6033">
              <w:rPr>
                <w:rFonts w:eastAsia="Calibri"/>
                <w:i/>
                <w:lang w:val="en-US" w:eastAsia="lv-LV"/>
              </w:rPr>
              <w:t>definite proposed warranty period</w:t>
            </w:r>
            <w:r w:rsidRPr="004F6033">
              <w:rPr>
                <w:rFonts w:eastAsia="Calibri"/>
                <w:i/>
                <w:lang w:val="en-US" w:eastAsia="lv-LV"/>
              </w:rPr>
              <w:t>&gt;</w:t>
            </w: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463B82" w:rsidP="00463B82">
            <w:pPr>
              <w:tabs>
                <w:tab w:val="left" w:pos="900"/>
              </w:tabs>
              <w:jc w:val="both"/>
              <w:rPr>
                <w:lang w:val="en-US" w:eastAsia="lv-LV"/>
              </w:rPr>
            </w:pPr>
            <w:r>
              <w:rPr>
                <w:lang w:val="en-US" w:eastAsia="lv-LV"/>
              </w:rPr>
              <w:t>The Product should be new and not used</w:t>
            </w:r>
            <w:r w:rsidR="00057B10" w:rsidRPr="004F6033">
              <w:rPr>
                <w:lang w:val="en-US" w:eastAsia="lv-LV"/>
              </w:rPr>
              <w:t xml:space="preserve">, </w:t>
            </w:r>
            <w:r>
              <w:rPr>
                <w:lang w:val="en-US" w:eastAsia="lv-LV"/>
              </w:rPr>
              <w:t xml:space="preserve">as well as not modified </w:t>
            </w:r>
            <w:r w:rsidR="00057B10" w:rsidRPr="004F6033">
              <w:rPr>
                <w:lang w:val="en-US" w:eastAsia="lv-LV"/>
              </w:rPr>
              <w:t>(</w:t>
            </w:r>
            <w:r>
              <w:rPr>
                <w:lang w:val="en-US" w:eastAsia="lv-LV"/>
              </w:rPr>
              <w:t>except for the case if the Bidder manufactures the Product</w:t>
            </w:r>
            <w:r w:rsidR="00057B10" w:rsidRPr="004F6033">
              <w:rPr>
                <w:lang w:val="en-US" w:eastAsia="lv-LV"/>
              </w:rPr>
              <w:t xml:space="preserve">), </w:t>
            </w:r>
            <w:r>
              <w:rPr>
                <w:lang w:val="en-US" w:eastAsia="lv-LV"/>
              </w:rPr>
              <w:t>in the original packaging unopened</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A06536">
            <w:pPr>
              <w:jc w:val="center"/>
              <w:rPr>
                <w:rFonts w:eastAsia="Calibri"/>
                <w:i/>
                <w:lang w:val="en-US" w:eastAsia="lv-LV"/>
              </w:rPr>
            </w:pP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463B82" w:rsidP="00463B82">
            <w:pPr>
              <w:tabs>
                <w:tab w:val="left" w:pos="900"/>
              </w:tabs>
              <w:jc w:val="both"/>
              <w:rPr>
                <w:lang w:val="en-US" w:eastAsia="lv-LV"/>
              </w:rPr>
            </w:pPr>
            <w:r>
              <w:rPr>
                <w:lang w:val="en-US" w:eastAsia="lv-LV"/>
              </w:rPr>
              <w:t>Product packaging should ensure that the risk of product damage in the process of transportation is reduced to a minimum</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A06536">
            <w:pPr>
              <w:jc w:val="center"/>
              <w:rPr>
                <w:rFonts w:eastAsia="Calibri"/>
                <w:i/>
                <w:lang w:val="en-US" w:eastAsia="lv-LV"/>
              </w:rPr>
            </w:pP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463B82" w:rsidP="00145567">
            <w:pPr>
              <w:jc w:val="both"/>
              <w:rPr>
                <w:lang w:val="en-US" w:eastAsia="lv-LV"/>
              </w:rPr>
            </w:pPr>
            <w:r>
              <w:rPr>
                <w:lang w:val="en-US" w:eastAsia="lv-LV"/>
              </w:rPr>
              <w:t>The Bidder</w:t>
            </w:r>
            <w:r w:rsidRPr="004F6033">
              <w:rPr>
                <w:lang w:val="en-US" w:eastAsia="lv-LV"/>
              </w:rPr>
              <w:t xml:space="preserve"> </w:t>
            </w:r>
            <w:r w:rsidR="00145567">
              <w:rPr>
                <w:lang w:val="en-US" w:eastAsia="lv-LV"/>
              </w:rPr>
              <w:t>makes delivery of the products (transfer) in the Customer’s premises in the presence of the responsible person appointed by the Customer</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A06536">
            <w:pPr>
              <w:jc w:val="center"/>
              <w:rPr>
                <w:rFonts w:eastAsia="Calibri"/>
                <w:i/>
                <w:lang w:val="en-US" w:eastAsia="lv-LV"/>
              </w:rPr>
            </w:pP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463B82" w:rsidP="00145567">
            <w:pPr>
              <w:jc w:val="both"/>
              <w:rPr>
                <w:lang w:val="en-US" w:eastAsia="lv-LV"/>
              </w:rPr>
            </w:pPr>
            <w:r>
              <w:rPr>
                <w:lang w:val="en-US" w:eastAsia="lv-LV"/>
              </w:rPr>
              <w:t>The Bidder</w:t>
            </w:r>
            <w:r w:rsidRPr="004F6033">
              <w:rPr>
                <w:lang w:val="en-US" w:eastAsia="lv-LV"/>
              </w:rPr>
              <w:t xml:space="preserve"> </w:t>
            </w:r>
            <w:r w:rsidR="00145567">
              <w:rPr>
                <w:lang w:val="en-US" w:eastAsia="lv-LV"/>
              </w:rPr>
              <w:t>shall ensure product delivery to Customer’s address</w:t>
            </w:r>
            <w:r w:rsidR="00845193" w:rsidRPr="004F6033">
              <w:rPr>
                <w:lang w:val="en-US" w:eastAsia="lv-LV"/>
              </w:rPr>
              <w:t>:</w:t>
            </w:r>
            <w:r w:rsidR="00057B10" w:rsidRPr="004F6033">
              <w:rPr>
                <w:lang w:val="en-US" w:eastAsia="lv-LV"/>
              </w:rPr>
              <w:t xml:space="preserve"> </w:t>
            </w:r>
            <w:r w:rsidR="00145567">
              <w:rPr>
                <w:lang w:val="en-US" w:eastAsia="lv-LV"/>
              </w:rPr>
              <w:t xml:space="preserve">6 </w:t>
            </w:r>
            <w:r w:rsidR="00845193" w:rsidRPr="004F6033">
              <w:rPr>
                <w:bCs/>
                <w:lang w:val="en-US"/>
              </w:rPr>
              <w:t xml:space="preserve">Ķīpsalas </w:t>
            </w:r>
            <w:r w:rsidR="00145567">
              <w:rPr>
                <w:bCs/>
                <w:lang w:val="en-US"/>
              </w:rPr>
              <w:t>Street</w:t>
            </w:r>
            <w:r w:rsidR="00845193" w:rsidRPr="004F6033">
              <w:rPr>
                <w:bCs/>
                <w:lang w:val="en-US"/>
              </w:rPr>
              <w:t xml:space="preserve">, </w:t>
            </w:r>
            <w:r w:rsidR="00145567" w:rsidRPr="004F6033">
              <w:rPr>
                <w:bCs/>
                <w:lang w:val="en-US"/>
              </w:rPr>
              <w:t>Riga</w:t>
            </w:r>
            <w:r w:rsidR="00845193" w:rsidRPr="004F6033">
              <w:rPr>
                <w:bCs/>
                <w:lang w:val="en-US"/>
              </w:rPr>
              <w:t>.</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A06536">
            <w:pPr>
              <w:jc w:val="center"/>
              <w:rPr>
                <w:rFonts w:eastAsia="Calibri"/>
                <w:i/>
                <w:lang w:val="en-US" w:eastAsia="lv-LV"/>
              </w:rPr>
            </w:pP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145567" w:rsidP="00145567">
            <w:pPr>
              <w:tabs>
                <w:tab w:val="left" w:pos="900"/>
              </w:tabs>
              <w:jc w:val="both"/>
              <w:rPr>
                <w:lang w:val="en-US" w:eastAsia="lv-LV"/>
              </w:rPr>
            </w:pPr>
            <w:r>
              <w:rPr>
                <w:lang w:val="en-US" w:eastAsia="lv-LV"/>
              </w:rPr>
              <w:t>Delivery costs are</w:t>
            </w:r>
            <w:r w:rsidR="002220B4">
              <w:rPr>
                <w:lang w:val="en-US" w:eastAsia="lv-LV"/>
              </w:rPr>
              <w:t xml:space="preserve"> covered by the Bidder</w:t>
            </w:r>
            <w:r w:rsidR="00057B10" w:rsidRPr="004F6033">
              <w:rPr>
                <w:lang w:val="en-US" w:eastAsia="lv-LV"/>
              </w:rPr>
              <w:t xml:space="preserve"> </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A06536">
            <w:pPr>
              <w:jc w:val="center"/>
              <w:rPr>
                <w:rFonts w:eastAsia="Calibri"/>
                <w:i/>
                <w:lang w:val="en-US" w:eastAsia="lv-LV"/>
              </w:rPr>
            </w:pP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hideMark/>
          </w:tcPr>
          <w:p w:rsidR="00057B10" w:rsidRPr="004F6033" w:rsidRDefault="00145567" w:rsidP="00A06536">
            <w:pPr>
              <w:jc w:val="both"/>
              <w:rPr>
                <w:lang w:val="en-US" w:eastAsia="lv-LV"/>
              </w:rPr>
            </w:pPr>
            <w:r>
              <w:rPr>
                <w:lang w:val="en-US" w:eastAsia="lv-LV"/>
              </w:rPr>
              <w:t>Product orders can be placed through the following communication media</w:t>
            </w:r>
            <w:r w:rsidR="00057B10" w:rsidRPr="004F6033">
              <w:rPr>
                <w:lang w:val="en-US" w:eastAsia="lv-LV"/>
              </w:rPr>
              <w:t>:</w:t>
            </w:r>
          </w:p>
          <w:p w:rsidR="00057B10" w:rsidRPr="004F6033" w:rsidRDefault="00057B10" w:rsidP="00A06536">
            <w:pPr>
              <w:tabs>
                <w:tab w:val="left" w:pos="2552"/>
              </w:tabs>
              <w:autoSpaceDE w:val="0"/>
              <w:autoSpaceDN w:val="0"/>
              <w:adjustRightInd w:val="0"/>
              <w:jc w:val="both"/>
              <w:rPr>
                <w:color w:val="FF0000"/>
                <w:lang w:val="en-US" w:eastAsia="lv-LV"/>
              </w:rPr>
            </w:pP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057B10" w:rsidRPr="004F6033" w:rsidRDefault="0034593D" w:rsidP="0034593D">
            <w:pPr>
              <w:rPr>
                <w:rFonts w:eastAsia="Calibri"/>
                <w:i/>
                <w:lang w:val="en-US" w:eastAsia="lv-LV"/>
              </w:rPr>
            </w:pPr>
            <w:r w:rsidRPr="004F6033">
              <w:rPr>
                <w:i/>
                <w:color w:val="000000"/>
                <w:lang w:val="en-US" w:eastAsia="lv-LV"/>
              </w:rPr>
              <w:t>Telephone</w:t>
            </w:r>
            <w:r w:rsidR="00057B10" w:rsidRPr="004F6033">
              <w:rPr>
                <w:i/>
                <w:color w:val="000000"/>
                <w:lang w:val="en-US" w:eastAsia="lv-LV"/>
              </w:rPr>
              <w:t xml:space="preserve">: </w:t>
            </w:r>
            <w:r w:rsidR="00057B10" w:rsidRPr="004F6033">
              <w:rPr>
                <w:i/>
                <w:color w:val="000000"/>
                <w:lang w:val="en-US" w:eastAsia="lv-LV"/>
              </w:rPr>
              <w:br/>
            </w:r>
            <w:r w:rsidRPr="004F6033">
              <w:rPr>
                <w:i/>
                <w:color w:val="000000"/>
                <w:lang w:val="en-US" w:eastAsia="lv-LV"/>
              </w:rPr>
              <w:t>E-mail</w:t>
            </w:r>
            <w:r w:rsidR="00057B10" w:rsidRPr="004F6033">
              <w:rPr>
                <w:i/>
                <w:color w:val="000000"/>
                <w:lang w:val="en-US" w:eastAsia="lv-LV"/>
              </w:rPr>
              <w:t xml:space="preserve">: </w:t>
            </w: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145567" w:rsidP="002220B4">
            <w:pPr>
              <w:jc w:val="both"/>
              <w:rPr>
                <w:lang w:val="en-US" w:eastAsia="lv-LV"/>
              </w:rPr>
            </w:pPr>
            <w:r>
              <w:rPr>
                <w:lang w:val="en-US" w:eastAsia="lv-LV"/>
              </w:rPr>
              <w:t>The Customer</w:t>
            </w:r>
            <w:r w:rsidRPr="004F6033">
              <w:rPr>
                <w:lang w:val="en-US" w:eastAsia="lv-LV"/>
              </w:rPr>
              <w:t xml:space="preserve"> </w:t>
            </w:r>
            <w:r>
              <w:rPr>
                <w:lang w:val="en-US" w:eastAsia="lv-LV"/>
              </w:rPr>
              <w:t>shall purchase the products when required in the amount necessary</w:t>
            </w:r>
            <w:r w:rsidR="00057B10" w:rsidRPr="004F6033">
              <w:rPr>
                <w:lang w:val="en-US" w:eastAsia="lv-LV"/>
              </w:rPr>
              <w:t xml:space="preserve">. </w:t>
            </w:r>
            <w:r w:rsidR="002220B4">
              <w:rPr>
                <w:lang w:val="en-US" w:eastAsia="lv-LV"/>
              </w:rPr>
              <w:t>Within the general contract term, t</w:t>
            </w:r>
            <w:r>
              <w:rPr>
                <w:lang w:val="en-US" w:eastAsia="lv-LV"/>
              </w:rPr>
              <w:t>he Customer</w:t>
            </w:r>
            <w:r w:rsidRPr="004F6033">
              <w:rPr>
                <w:lang w:val="en-US" w:eastAsia="lv-LV"/>
              </w:rPr>
              <w:t xml:space="preserve"> </w:t>
            </w:r>
            <w:r>
              <w:rPr>
                <w:lang w:val="en-US" w:eastAsia="lv-LV"/>
              </w:rPr>
              <w:t xml:space="preserve">is not obliged to purchase </w:t>
            </w:r>
            <w:r w:rsidR="002220B4">
              <w:rPr>
                <w:lang w:val="en-US" w:eastAsia="lv-LV"/>
              </w:rPr>
              <w:t xml:space="preserve">all items specified in the technical specification or for the full amount specified.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057B10" w:rsidRPr="004F6033" w:rsidRDefault="00057B10" w:rsidP="00A06536">
            <w:pPr>
              <w:rPr>
                <w:color w:val="000000"/>
                <w:lang w:val="en-US" w:eastAsia="lv-LV"/>
              </w:rPr>
            </w:pPr>
          </w:p>
        </w:tc>
      </w:tr>
      <w:tr w:rsidR="00057B10" w:rsidRPr="004F6033" w:rsidTr="00A06536">
        <w:tc>
          <w:tcPr>
            <w:tcW w:w="314"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057B10" w:rsidP="00057B10">
            <w:pPr>
              <w:numPr>
                <w:ilvl w:val="0"/>
                <w:numId w:val="25"/>
              </w:numPr>
              <w:suppressAutoHyphens w:val="0"/>
              <w:rPr>
                <w:rFonts w:eastAsia="Calibri"/>
                <w:lang w:val="en-US" w:eastAsia="lv-LV"/>
              </w:rPr>
            </w:pPr>
          </w:p>
        </w:tc>
        <w:tc>
          <w:tcPr>
            <w:tcW w:w="3466" w:type="pct"/>
            <w:tcBorders>
              <w:top w:val="single" w:sz="4" w:space="0" w:color="auto"/>
              <w:left w:val="single" w:sz="4" w:space="0" w:color="auto"/>
              <w:bottom w:val="single" w:sz="4" w:space="0" w:color="auto"/>
              <w:right w:val="single" w:sz="4" w:space="0" w:color="auto"/>
            </w:tcBorders>
            <w:shd w:val="clear" w:color="auto" w:fill="auto"/>
          </w:tcPr>
          <w:p w:rsidR="00057B10" w:rsidRPr="004F6033" w:rsidRDefault="002220B4" w:rsidP="007E1BA8">
            <w:pPr>
              <w:jc w:val="both"/>
              <w:rPr>
                <w:lang w:val="en-US" w:eastAsia="lv-LV"/>
              </w:rPr>
            </w:pPr>
            <w:r>
              <w:rPr>
                <w:lang w:val="en-US" w:eastAsia="lv-LV"/>
              </w:rPr>
              <w:t>Apart from documentation, which contains description of the Product and its specific features, t</w:t>
            </w:r>
            <w:r w:rsidR="00463B82">
              <w:rPr>
                <w:lang w:val="en-US" w:eastAsia="lv-LV"/>
              </w:rPr>
              <w:t>he Bidder</w:t>
            </w:r>
            <w:r w:rsidR="00057B10" w:rsidRPr="004F6033">
              <w:rPr>
                <w:lang w:val="en-US" w:eastAsia="lv-LV"/>
              </w:rPr>
              <w:t xml:space="preserve"> </w:t>
            </w:r>
            <w:r>
              <w:rPr>
                <w:lang w:val="en-US" w:eastAsia="lv-LV"/>
              </w:rPr>
              <w:t xml:space="preserve">transfers to the Customer Product storage, </w:t>
            </w:r>
            <w:r w:rsidR="007E1BA8">
              <w:rPr>
                <w:lang w:val="en-US" w:eastAsia="lv-LV"/>
              </w:rPr>
              <w:t>care</w:t>
            </w:r>
            <w:r>
              <w:rPr>
                <w:lang w:val="en-US" w:eastAsia="lv-LV"/>
              </w:rPr>
              <w:t xml:space="preserve"> and usage guidelines</w:t>
            </w:r>
            <w:r w:rsidR="00057B10" w:rsidRPr="004F6033">
              <w:rPr>
                <w:lang w:val="en-US" w:eastAsia="lv-LV"/>
              </w:rPr>
              <w:t xml:space="preserve"> (</w:t>
            </w:r>
            <w:r w:rsidR="00C30899" w:rsidRPr="004F6033">
              <w:rPr>
                <w:lang w:val="en-US" w:eastAsia="lv-LV"/>
              </w:rPr>
              <w:t xml:space="preserve">in the Latvian and/or English </w:t>
            </w:r>
            <w:r w:rsidR="00463B82" w:rsidRPr="004F6033">
              <w:rPr>
                <w:lang w:val="en-US" w:eastAsia="lv-LV"/>
              </w:rPr>
              <w:t>language</w:t>
            </w:r>
            <w:r w:rsidR="00057B10" w:rsidRPr="004F6033">
              <w:rPr>
                <w:lang w:val="en-US" w:eastAsia="lv-LV"/>
              </w:rPr>
              <w:t xml:space="preserve">). </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rsidR="00057B10" w:rsidRPr="004F6033" w:rsidRDefault="00057B10" w:rsidP="00A06536">
            <w:pPr>
              <w:rPr>
                <w:color w:val="000000"/>
                <w:lang w:val="en-US" w:eastAsia="lv-LV"/>
              </w:rPr>
            </w:pPr>
          </w:p>
        </w:tc>
      </w:tr>
    </w:tbl>
    <w:p w:rsidR="00057B10" w:rsidRPr="004F6033" w:rsidRDefault="00057B10" w:rsidP="00057B10">
      <w:pPr>
        <w:jc w:val="both"/>
        <w:rPr>
          <w:i/>
          <w:color w:val="000000"/>
          <w:szCs w:val="22"/>
          <w:lang w:val="en-US" w:eastAsia="lv-LV"/>
        </w:rPr>
      </w:pPr>
    </w:p>
    <w:p w:rsidR="00057B10" w:rsidRPr="004F6033" w:rsidRDefault="003E3D8C" w:rsidP="00057B10">
      <w:pPr>
        <w:rPr>
          <w:lang w:val="en-US" w:eastAsia="lv-LV"/>
        </w:rPr>
      </w:pPr>
      <w:r w:rsidRPr="004F6033">
        <w:rPr>
          <w:lang w:val="en-US" w:eastAsia="lv-LV"/>
        </w:rPr>
        <w:t>We assure and guarantee</w:t>
      </w:r>
      <w:r w:rsidR="00057B10" w:rsidRPr="004F6033">
        <w:rPr>
          <w:lang w:val="en-US" w:eastAsia="lv-LV"/>
        </w:rPr>
        <w:t>:</w:t>
      </w:r>
    </w:p>
    <w:p w:rsidR="00057B10" w:rsidRPr="004F6033" w:rsidRDefault="00057B10" w:rsidP="00057B10">
      <w:pPr>
        <w:rPr>
          <w:lang w:val="en-US" w:eastAsia="lv-LV"/>
        </w:rPr>
      </w:pPr>
      <w:r w:rsidRPr="004F6033">
        <w:rPr>
          <w:lang w:val="en-US" w:eastAsia="lv-LV"/>
        </w:rPr>
        <w:t>1)</w:t>
      </w:r>
      <w:r w:rsidRPr="004F6033">
        <w:rPr>
          <w:lang w:val="en-US" w:eastAsia="lv-LV"/>
        </w:rPr>
        <w:tab/>
      </w:r>
      <w:r w:rsidR="0034593D" w:rsidRPr="004F6033">
        <w:rPr>
          <w:lang w:val="en-US" w:eastAsia="lv-LV"/>
        </w:rPr>
        <w:t>accuracy and veracity of the information provided</w:t>
      </w:r>
      <w:r w:rsidRPr="004F6033">
        <w:rPr>
          <w:lang w:val="en-US" w:eastAsia="lv-LV"/>
        </w:rPr>
        <w:t>;</w:t>
      </w:r>
    </w:p>
    <w:p w:rsidR="006A6C7E" w:rsidRPr="00AC2DA6" w:rsidRDefault="00057B10" w:rsidP="006A6C7E">
      <w:pPr>
        <w:rPr>
          <w:lang w:val="en-US" w:eastAsia="lv-LV"/>
        </w:rPr>
      </w:pPr>
      <w:r w:rsidRPr="004F6033">
        <w:rPr>
          <w:lang w:val="en-US" w:eastAsia="lv-LV"/>
        </w:rPr>
        <w:t>2)</w:t>
      </w:r>
      <w:r w:rsidRPr="004F6033">
        <w:rPr>
          <w:lang w:val="en-US" w:eastAsia="lv-LV"/>
        </w:rPr>
        <w:tab/>
      </w:r>
      <w:r w:rsidR="006A6C7E" w:rsidRPr="00AC2DA6">
        <w:rPr>
          <w:lang w:val="en-US" w:eastAsia="lv-LV"/>
        </w:rPr>
        <w:t>senior employee in charge of delivery __________________</w:t>
      </w:r>
      <w:r w:rsidR="006A6C7E">
        <w:rPr>
          <w:lang w:val="en-US" w:eastAsia="lv-LV"/>
        </w:rPr>
        <w:t>_______________________________</w:t>
      </w:r>
      <w:r w:rsidR="006A6C7E" w:rsidRPr="00AC2DA6">
        <w:rPr>
          <w:lang w:val="en-US" w:eastAsia="lv-LV"/>
        </w:rPr>
        <w:t xml:space="preserve"> (name, surname, e-mail, telephone).</w:t>
      </w:r>
    </w:p>
    <w:p w:rsidR="001468DF" w:rsidRPr="00ED306B" w:rsidRDefault="00ED306B" w:rsidP="001468DF">
      <w:pPr>
        <w:rPr>
          <w:rFonts w:eastAsia="Cambria" w:cs="Cambria"/>
          <w:kern w:val="56"/>
          <w:szCs w:val="22"/>
          <w:lang w:val="en-US" w:eastAsia="en-US"/>
        </w:rPr>
      </w:pPr>
      <w:r w:rsidRPr="00ED306B">
        <w:rPr>
          <w:rFonts w:eastAsia="Cambria" w:cs="Cambria"/>
          <w:kern w:val="56"/>
          <w:szCs w:val="22"/>
          <w:lang w:val="en-US" w:eastAsia="en-US"/>
        </w:rPr>
        <w:lastRenderedPageBreak/>
        <w:t xml:space="preserve">3)          </w:t>
      </w:r>
      <w:r w:rsidRPr="00ED306B">
        <w:rPr>
          <w:rFonts w:eastAsia="Cambria"/>
          <w:szCs w:val="22"/>
        </w:rPr>
        <w:t>that all costs related to the fulfilment of t</w:t>
      </w:r>
      <w:bookmarkStart w:id="12" w:name="_GoBack"/>
      <w:bookmarkEnd w:id="12"/>
      <w:r w:rsidRPr="00ED306B">
        <w:rPr>
          <w:rFonts w:eastAsia="Cambria"/>
          <w:szCs w:val="22"/>
        </w:rPr>
        <w:t>he Contract, including all applicable taxes and duties in accordance with laws and regulations of Latvia, except VAT, are included in the Proposed price.</w:t>
      </w:r>
    </w:p>
    <w:p w:rsidR="001468DF" w:rsidRPr="004F6033" w:rsidRDefault="001468DF" w:rsidP="001468DF">
      <w:pPr>
        <w:widowControl w:val="0"/>
        <w:autoSpaceDE w:val="0"/>
        <w:autoSpaceDN w:val="0"/>
        <w:adjustRightInd w:val="0"/>
        <w:ind w:left="45"/>
        <w:jc w:val="both"/>
        <w:rPr>
          <w:rFonts w:eastAsia="Cambria" w:cs="Cambria"/>
          <w:kern w:val="56"/>
          <w:sz w:val="22"/>
          <w:szCs w:val="22"/>
          <w:lang w:val="en-US"/>
        </w:rPr>
      </w:pPr>
    </w:p>
    <w:p w:rsidR="001468DF" w:rsidRPr="004F6033" w:rsidRDefault="001468DF" w:rsidP="001468DF">
      <w:pPr>
        <w:jc w:val="both"/>
        <w:rPr>
          <w:rFonts w:eastAsia="Cambria" w:cs="Cambria"/>
          <w:kern w:val="56"/>
          <w:sz w:val="22"/>
          <w:szCs w:val="22"/>
          <w:lang w:val="en-US"/>
        </w:rPr>
      </w:pPr>
    </w:p>
    <w:p w:rsidR="001468DF" w:rsidRPr="004F6033" w:rsidRDefault="006B1D51" w:rsidP="001468DF">
      <w:pPr>
        <w:ind w:right="28"/>
        <w:jc w:val="both"/>
        <w:rPr>
          <w:rFonts w:eastAsia="Cambria" w:cs="Cambria"/>
          <w:kern w:val="56"/>
          <w:szCs w:val="22"/>
          <w:lang w:val="en-US" w:eastAsia="en-US"/>
        </w:rPr>
      </w:pPr>
      <w:r w:rsidRPr="004F6033">
        <w:rPr>
          <w:rFonts w:eastAsia="Cambria" w:cs="Cambria"/>
          <w:kern w:val="56"/>
          <w:szCs w:val="22"/>
          <w:lang w:val="en-US" w:eastAsia="en-US"/>
        </w:rPr>
        <w:t xml:space="preserve">Position, name, and surname of the </w:t>
      </w:r>
      <w:r w:rsidR="00274AE6" w:rsidRPr="004F6033">
        <w:rPr>
          <w:rFonts w:eastAsia="Cambria" w:cs="Cambria"/>
          <w:kern w:val="56"/>
          <w:szCs w:val="22"/>
          <w:lang w:val="en-US" w:eastAsia="en-US"/>
        </w:rPr>
        <w:t>Bidder’s</w:t>
      </w:r>
      <w:r w:rsidRPr="004F6033">
        <w:rPr>
          <w:rFonts w:eastAsia="Cambria" w:cs="Cambria"/>
          <w:kern w:val="56"/>
          <w:szCs w:val="22"/>
          <w:lang w:val="en-US" w:eastAsia="en-US"/>
        </w:rPr>
        <w:t xml:space="preserve"> Representative</w:t>
      </w:r>
      <w:r w:rsidR="001468DF" w:rsidRPr="004F6033">
        <w:rPr>
          <w:rFonts w:eastAsia="Cambria" w:cs="Cambria"/>
          <w:kern w:val="56"/>
          <w:szCs w:val="22"/>
          <w:lang w:val="en-US" w:eastAsia="en-US"/>
        </w:rPr>
        <w:t>:</w:t>
      </w:r>
      <w:r w:rsidR="001468DF" w:rsidRPr="004F6033">
        <w:rPr>
          <w:rFonts w:eastAsia="Cambria" w:cs="Cambria"/>
          <w:b/>
          <w:kern w:val="56"/>
          <w:szCs w:val="22"/>
          <w:lang w:val="en-US" w:eastAsia="en-US"/>
        </w:rPr>
        <w:t xml:space="preserve"> </w:t>
      </w:r>
    </w:p>
    <w:p w:rsidR="001468DF" w:rsidRPr="004F6033" w:rsidRDefault="001468DF" w:rsidP="001468DF">
      <w:pPr>
        <w:ind w:right="28"/>
        <w:jc w:val="both"/>
        <w:rPr>
          <w:rFonts w:eastAsia="Cambria" w:cs="Cambria"/>
          <w:kern w:val="56"/>
          <w:szCs w:val="22"/>
          <w:lang w:val="en-US" w:eastAsia="en-US"/>
        </w:rPr>
      </w:pPr>
    </w:p>
    <w:p w:rsidR="0013337C" w:rsidRPr="004F6033" w:rsidRDefault="006B1D51" w:rsidP="001468DF">
      <w:pPr>
        <w:tabs>
          <w:tab w:val="left" w:pos="0"/>
        </w:tabs>
        <w:suppressAutoHyphens w:val="0"/>
        <w:ind w:right="-477"/>
        <w:jc w:val="both"/>
        <w:rPr>
          <w:szCs w:val="22"/>
          <w:lang w:val="en-US" w:eastAsia="en-US"/>
        </w:rPr>
      </w:pPr>
      <w:r w:rsidRPr="004F6033">
        <w:rPr>
          <w:rFonts w:eastAsia="Cambria" w:cs="Cambria"/>
          <w:kern w:val="56"/>
          <w:szCs w:val="22"/>
          <w:lang w:val="en-US" w:eastAsia="en-US"/>
        </w:rPr>
        <w:t>Signature</w:t>
      </w:r>
      <w:r w:rsidR="001468DF" w:rsidRPr="004F6033">
        <w:rPr>
          <w:rFonts w:eastAsia="Cambria" w:cs="Cambria"/>
          <w:kern w:val="56"/>
          <w:szCs w:val="22"/>
          <w:lang w:val="en-US" w:eastAsia="en-US"/>
        </w:rPr>
        <w:t xml:space="preserve">: </w:t>
      </w:r>
      <w:r w:rsidR="001468DF" w:rsidRPr="004F6033">
        <w:rPr>
          <w:rFonts w:eastAsia="Cambria" w:cs="Cambria"/>
          <w:kern w:val="56"/>
          <w:szCs w:val="22"/>
          <w:lang w:val="en-US" w:eastAsia="en-US"/>
        </w:rPr>
        <w:tab/>
        <w:t xml:space="preserve">__________________  </w:t>
      </w:r>
      <w:r w:rsidR="001468DF" w:rsidRPr="004F6033">
        <w:rPr>
          <w:rFonts w:eastAsia="Cambria" w:cs="Cambria"/>
          <w:kern w:val="56"/>
          <w:szCs w:val="22"/>
          <w:lang w:val="en-US" w:eastAsia="en-US"/>
        </w:rPr>
        <w:tab/>
      </w:r>
      <w:bookmarkEnd w:id="0"/>
      <w:bookmarkEnd w:id="1"/>
      <w:bookmarkEnd w:id="2"/>
      <w:bookmarkEnd w:id="3"/>
      <w:bookmarkEnd w:id="4"/>
      <w:bookmarkEnd w:id="5"/>
      <w:bookmarkEnd w:id="6"/>
      <w:bookmarkEnd w:id="7"/>
      <w:bookmarkEnd w:id="8"/>
      <w:bookmarkEnd w:id="9"/>
      <w:bookmarkEnd w:id="10"/>
      <w:bookmarkEnd w:id="11"/>
    </w:p>
    <w:sectPr w:rsidR="0013337C" w:rsidRPr="004F6033" w:rsidSect="0013337C">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ECD" w:rsidRDefault="00AA3ECD" w:rsidP="00C30A34">
      <w:r>
        <w:separator/>
      </w:r>
    </w:p>
  </w:endnote>
  <w:endnote w:type="continuationSeparator" w:id="0">
    <w:p w:rsidR="00AA3ECD" w:rsidRDefault="00AA3ECD" w:rsidP="00C3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ECD" w:rsidRDefault="00AA3ECD" w:rsidP="00C30A34">
      <w:r>
        <w:separator/>
      </w:r>
    </w:p>
  </w:footnote>
  <w:footnote w:type="continuationSeparator" w:id="0">
    <w:p w:rsidR="00AA3ECD" w:rsidRDefault="00AA3ECD" w:rsidP="00C3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E823FA"/>
    <w:multiLevelType w:val="hybridMultilevel"/>
    <w:tmpl w:val="D4EE3132"/>
    <w:lvl w:ilvl="0" w:tplc="04260011">
      <w:start w:val="1"/>
      <w:numFmt w:val="decimal"/>
      <w:lvlText w:val="%1)"/>
      <w:lvlJc w:val="left"/>
      <w:pPr>
        <w:tabs>
          <w:tab w:val="num" w:pos="405"/>
        </w:tabs>
        <w:ind w:left="405" w:hanging="360"/>
      </w:pPr>
      <w:rPr>
        <w:color w:val="auto"/>
      </w:rPr>
    </w:lvl>
    <w:lvl w:ilvl="1" w:tplc="04260019">
      <w:start w:val="1"/>
      <w:numFmt w:val="bullet"/>
      <w:lvlText w:val="o"/>
      <w:lvlJc w:val="left"/>
      <w:pPr>
        <w:tabs>
          <w:tab w:val="num" w:pos="1125"/>
        </w:tabs>
        <w:ind w:left="1125" w:hanging="360"/>
      </w:pPr>
      <w:rPr>
        <w:rFonts w:ascii="Cambria" w:hAnsi="Cambria" w:cs="Cambria" w:hint="default"/>
      </w:rPr>
    </w:lvl>
    <w:lvl w:ilvl="2" w:tplc="0426001B">
      <w:start w:val="1"/>
      <w:numFmt w:val="bullet"/>
      <w:lvlText w:val=""/>
      <w:lvlJc w:val="left"/>
      <w:pPr>
        <w:tabs>
          <w:tab w:val="num" w:pos="1845"/>
        </w:tabs>
        <w:ind w:left="1845" w:hanging="360"/>
      </w:pPr>
      <w:rPr>
        <w:rFonts w:ascii="Cambria" w:hAnsi="Cambria" w:hint="default"/>
      </w:rPr>
    </w:lvl>
    <w:lvl w:ilvl="3" w:tplc="0426000F">
      <w:start w:val="1"/>
      <w:numFmt w:val="bullet"/>
      <w:lvlText w:val=""/>
      <w:lvlJc w:val="left"/>
      <w:pPr>
        <w:tabs>
          <w:tab w:val="num" w:pos="2565"/>
        </w:tabs>
        <w:ind w:left="2565" w:hanging="360"/>
      </w:pPr>
      <w:rPr>
        <w:rFonts w:ascii="Verdana" w:hAnsi="Verdana" w:hint="default"/>
      </w:rPr>
    </w:lvl>
    <w:lvl w:ilvl="4" w:tplc="04260019">
      <w:start w:val="1"/>
      <w:numFmt w:val="bullet"/>
      <w:lvlText w:val="o"/>
      <w:lvlJc w:val="left"/>
      <w:pPr>
        <w:tabs>
          <w:tab w:val="num" w:pos="3285"/>
        </w:tabs>
        <w:ind w:left="3285" w:hanging="360"/>
      </w:pPr>
      <w:rPr>
        <w:rFonts w:ascii="Cambria" w:hAnsi="Cambria" w:cs="Cambria" w:hint="default"/>
      </w:rPr>
    </w:lvl>
    <w:lvl w:ilvl="5" w:tplc="0426001B">
      <w:start w:val="1"/>
      <w:numFmt w:val="bullet"/>
      <w:lvlText w:val=""/>
      <w:lvlJc w:val="left"/>
      <w:pPr>
        <w:tabs>
          <w:tab w:val="num" w:pos="4005"/>
        </w:tabs>
        <w:ind w:left="4005" w:hanging="360"/>
      </w:pPr>
      <w:rPr>
        <w:rFonts w:ascii="Cambria" w:hAnsi="Cambria" w:hint="default"/>
      </w:rPr>
    </w:lvl>
    <w:lvl w:ilvl="6" w:tplc="0426000F">
      <w:start w:val="1"/>
      <w:numFmt w:val="bullet"/>
      <w:lvlText w:val=""/>
      <w:lvlJc w:val="left"/>
      <w:pPr>
        <w:tabs>
          <w:tab w:val="num" w:pos="4725"/>
        </w:tabs>
        <w:ind w:left="4725" w:hanging="360"/>
      </w:pPr>
      <w:rPr>
        <w:rFonts w:ascii="Verdana" w:hAnsi="Verdana" w:hint="default"/>
      </w:rPr>
    </w:lvl>
    <w:lvl w:ilvl="7" w:tplc="04260019">
      <w:start w:val="1"/>
      <w:numFmt w:val="bullet"/>
      <w:lvlText w:val="o"/>
      <w:lvlJc w:val="left"/>
      <w:pPr>
        <w:tabs>
          <w:tab w:val="num" w:pos="5445"/>
        </w:tabs>
        <w:ind w:left="5445" w:hanging="360"/>
      </w:pPr>
      <w:rPr>
        <w:rFonts w:ascii="Cambria" w:hAnsi="Cambria" w:cs="Cambria" w:hint="default"/>
      </w:rPr>
    </w:lvl>
    <w:lvl w:ilvl="8" w:tplc="0426001B">
      <w:start w:val="1"/>
      <w:numFmt w:val="bullet"/>
      <w:lvlText w:val=""/>
      <w:lvlJc w:val="left"/>
      <w:pPr>
        <w:tabs>
          <w:tab w:val="num" w:pos="6165"/>
        </w:tabs>
        <w:ind w:left="6165" w:hanging="360"/>
      </w:pPr>
      <w:rPr>
        <w:rFonts w:ascii="Cambria" w:hAnsi="Cambria" w:hint="default"/>
      </w:rPr>
    </w:lvl>
  </w:abstractNum>
  <w:abstractNum w:abstractNumId="3" w15:restartNumberingAfterBreak="0">
    <w:nsid w:val="146D5C65"/>
    <w:multiLevelType w:val="hybridMultilevel"/>
    <w:tmpl w:val="B34E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AC7757"/>
    <w:multiLevelType w:val="hybridMultilevel"/>
    <w:tmpl w:val="39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04DED"/>
    <w:multiLevelType w:val="hybridMultilevel"/>
    <w:tmpl w:val="612EB5B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2A732A"/>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4101FE0"/>
    <w:multiLevelType w:val="multilevel"/>
    <w:tmpl w:val="49DAB26E"/>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698"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9" w15:restartNumberingAfterBreak="0">
    <w:nsid w:val="24C84922"/>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593167"/>
    <w:multiLevelType w:val="hybridMultilevel"/>
    <w:tmpl w:val="711CD2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D44164"/>
    <w:multiLevelType w:val="hybridMultilevel"/>
    <w:tmpl w:val="77B28E18"/>
    <w:lvl w:ilvl="0" w:tplc="CD083AD6">
      <w:start w:val="1"/>
      <w:numFmt w:val="bullet"/>
      <w:pStyle w:val="Index1"/>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4" w15:restartNumberingAfterBreak="0">
    <w:nsid w:val="479021E3"/>
    <w:multiLevelType w:val="hybridMultilevel"/>
    <w:tmpl w:val="86747A6A"/>
    <w:lvl w:ilvl="0" w:tplc="0409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DB638E"/>
    <w:multiLevelType w:val="multilevel"/>
    <w:tmpl w:val="432A17A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AD17BBC"/>
    <w:multiLevelType w:val="hybridMultilevel"/>
    <w:tmpl w:val="53F2CDF4"/>
    <w:lvl w:ilvl="0" w:tplc="A26C8714">
      <w:start w:val="1"/>
      <w:numFmt w:val="bullet"/>
      <w:lvlText w:val=""/>
      <w:lvlJc w:val="left"/>
      <w:pPr>
        <w:tabs>
          <w:tab w:val="num" w:pos="360"/>
        </w:tabs>
        <w:ind w:left="360" w:hanging="360"/>
      </w:pPr>
      <w:rPr>
        <w:rFonts w:ascii="Symbol" w:hAnsi="Symbol" w:hint="default"/>
        <w:sz w:val="24"/>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EA2866"/>
    <w:multiLevelType w:val="hybridMultilevel"/>
    <w:tmpl w:val="B636A71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745A18"/>
    <w:multiLevelType w:val="hybridMultilevel"/>
    <w:tmpl w:val="71BE2500"/>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19" w15:restartNumberingAfterBreak="0">
    <w:nsid w:val="5A7E6333"/>
    <w:multiLevelType w:val="hybridMultilevel"/>
    <w:tmpl w:val="B5147116"/>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DF5BF4"/>
    <w:multiLevelType w:val="hybridMultilevel"/>
    <w:tmpl w:val="D44275CA"/>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6C4B3F0C"/>
    <w:multiLevelType w:val="hybridMultilevel"/>
    <w:tmpl w:val="C25E0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EA17656"/>
    <w:multiLevelType w:val="hybridMultilevel"/>
    <w:tmpl w:val="43162966"/>
    <w:lvl w:ilvl="0" w:tplc="04260011">
      <w:start w:val="1"/>
      <w:numFmt w:val="decimal"/>
      <w:lvlText w:val="%1)"/>
      <w:lvlJc w:val="left"/>
      <w:pPr>
        <w:tabs>
          <w:tab w:val="num" w:pos="405"/>
        </w:tabs>
        <w:ind w:left="405" w:hanging="360"/>
      </w:pPr>
      <w:rPr>
        <w:rFonts w:hint="default"/>
        <w:color w:val="auto"/>
      </w:rPr>
    </w:lvl>
    <w:lvl w:ilvl="1" w:tplc="04260019" w:tentative="1">
      <w:start w:val="1"/>
      <w:numFmt w:val="bullet"/>
      <w:lvlText w:val="o"/>
      <w:lvlJc w:val="left"/>
      <w:pPr>
        <w:tabs>
          <w:tab w:val="num" w:pos="1125"/>
        </w:tabs>
        <w:ind w:left="1125" w:hanging="360"/>
      </w:pPr>
      <w:rPr>
        <w:rFonts w:ascii="Cambria" w:hAnsi="Cambria" w:cs="Cambria" w:hint="default"/>
      </w:rPr>
    </w:lvl>
    <w:lvl w:ilvl="2" w:tplc="0426001B" w:tentative="1">
      <w:start w:val="1"/>
      <w:numFmt w:val="bullet"/>
      <w:lvlText w:val=""/>
      <w:lvlJc w:val="left"/>
      <w:pPr>
        <w:tabs>
          <w:tab w:val="num" w:pos="1845"/>
        </w:tabs>
        <w:ind w:left="1845" w:hanging="360"/>
      </w:pPr>
      <w:rPr>
        <w:rFonts w:ascii="Cambria" w:hAnsi="Cambria" w:hint="default"/>
      </w:rPr>
    </w:lvl>
    <w:lvl w:ilvl="3" w:tplc="0426000F" w:tentative="1">
      <w:start w:val="1"/>
      <w:numFmt w:val="bullet"/>
      <w:lvlText w:val=""/>
      <w:lvlJc w:val="left"/>
      <w:pPr>
        <w:tabs>
          <w:tab w:val="num" w:pos="2565"/>
        </w:tabs>
        <w:ind w:left="2565" w:hanging="360"/>
      </w:pPr>
      <w:rPr>
        <w:rFonts w:ascii="Verdana" w:hAnsi="Verdana" w:hint="default"/>
      </w:rPr>
    </w:lvl>
    <w:lvl w:ilvl="4" w:tplc="04260019" w:tentative="1">
      <w:start w:val="1"/>
      <w:numFmt w:val="bullet"/>
      <w:lvlText w:val="o"/>
      <w:lvlJc w:val="left"/>
      <w:pPr>
        <w:tabs>
          <w:tab w:val="num" w:pos="3285"/>
        </w:tabs>
        <w:ind w:left="3285" w:hanging="360"/>
      </w:pPr>
      <w:rPr>
        <w:rFonts w:ascii="Cambria" w:hAnsi="Cambria" w:cs="Cambria" w:hint="default"/>
      </w:rPr>
    </w:lvl>
    <w:lvl w:ilvl="5" w:tplc="0426001B" w:tentative="1">
      <w:start w:val="1"/>
      <w:numFmt w:val="bullet"/>
      <w:lvlText w:val=""/>
      <w:lvlJc w:val="left"/>
      <w:pPr>
        <w:tabs>
          <w:tab w:val="num" w:pos="4005"/>
        </w:tabs>
        <w:ind w:left="4005" w:hanging="360"/>
      </w:pPr>
      <w:rPr>
        <w:rFonts w:ascii="Cambria" w:hAnsi="Cambria" w:hint="default"/>
      </w:rPr>
    </w:lvl>
    <w:lvl w:ilvl="6" w:tplc="0426000F" w:tentative="1">
      <w:start w:val="1"/>
      <w:numFmt w:val="bullet"/>
      <w:lvlText w:val=""/>
      <w:lvlJc w:val="left"/>
      <w:pPr>
        <w:tabs>
          <w:tab w:val="num" w:pos="4725"/>
        </w:tabs>
        <w:ind w:left="4725" w:hanging="360"/>
      </w:pPr>
      <w:rPr>
        <w:rFonts w:ascii="Verdana" w:hAnsi="Verdana" w:hint="default"/>
      </w:rPr>
    </w:lvl>
    <w:lvl w:ilvl="7" w:tplc="04260019" w:tentative="1">
      <w:start w:val="1"/>
      <w:numFmt w:val="bullet"/>
      <w:lvlText w:val="o"/>
      <w:lvlJc w:val="left"/>
      <w:pPr>
        <w:tabs>
          <w:tab w:val="num" w:pos="5445"/>
        </w:tabs>
        <w:ind w:left="5445" w:hanging="360"/>
      </w:pPr>
      <w:rPr>
        <w:rFonts w:ascii="Cambria" w:hAnsi="Cambria" w:cs="Cambria" w:hint="default"/>
      </w:rPr>
    </w:lvl>
    <w:lvl w:ilvl="8" w:tplc="0426001B" w:tentative="1">
      <w:start w:val="1"/>
      <w:numFmt w:val="bullet"/>
      <w:lvlText w:val=""/>
      <w:lvlJc w:val="left"/>
      <w:pPr>
        <w:tabs>
          <w:tab w:val="num" w:pos="6165"/>
        </w:tabs>
        <w:ind w:left="6165" w:hanging="360"/>
      </w:pPr>
      <w:rPr>
        <w:rFonts w:ascii="Cambria" w:hAnsi="Cambria" w:hint="default"/>
      </w:rPr>
    </w:lvl>
  </w:abstractNum>
  <w:abstractNum w:abstractNumId="23" w15:restartNumberingAfterBreak="0">
    <w:nsid w:val="743E47C5"/>
    <w:multiLevelType w:val="hybridMultilevel"/>
    <w:tmpl w:val="2D823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018A0"/>
    <w:multiLevelType w:val="hybridMultilevel"/>
    <w:tmpl w:val="AF6C4592"/>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4"/>
  </w:num>
  <w:num w:numId="5">
    <w:abstractNumId w:val="6"/>
  </w:num>
  <w:num w:numId="6">
    <w:abstractNumId w:val="24"/>
  </w:num>
  <w:num w:numId="7">
    <w:abstractNumId w:val="19"/>
  </w:num>
  <w:num w:numId="8">
    <w:abstractNumId w:val="15"/>
  </w:num>
  <w:num w:numId="9">
    <w:abstractNumId w:val="16"/>
  </w:num>
  <w:num w:numId="10">
    <w:abstractNumId w:val="17"/>
  </w:num>
  <w:num w:numId="11">
    <w:abstractNumId w:val="0"/>
  </w:num>
  <w:num w:numId="12">
    <w:abstractNumId w:val="14"/>
  </w:num>
  <w:num w:numId="13">
    <w:abstractNumId w:val="21"/>
  </w:num>
  <w:num w:numId="14">
    <w:abstractNumId w:val="9"/>
  </w:num>
  <w:num w:numId="15">
    <w:abstractNumId w:val="7"/>
  </w:num>
  <w:num w:numId="16">
    <w:abstractNumId w:val="22"/>
  </w:num>
  <w:num w:numId="17">
    <w:abstractNumId w:val="18"/>
  </w:num>
  <w:num w:numId="18">
    <w:abstractNumId w:val="2"/>
  </w:num>
  <w:num w:numId="19">
    <w:abstractNumId w:val="20"/>
  </w:num>
  <w:num w:numId="20">
    <w:abstractNumId w:val="11"/>
  </w:num>
  <w:num w:numId="21">
    <w:abstractNumId w:val="5"/>
  </w:num>
  <w:num w:numId="22">
    <w:abstractNumId w:val="23"/>
  </w:num>
  <w:num w:numId="23">
    <w:abstractNumId w:val="3"/>
  </w:num>
  <w:num w:numId="24">
    <w:abstractNumId w:val="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37C"/>
    <w:rsid w:val="0000742D"/>
    <w:rsid w:val="00017020"/>
    <w:rsid w:val="000226D4"/>
    <w:rsid w:val="00055EC6"/>
    <w:rsid w:val="00057B10"/>
    <w:rsid w:val="00080D67"/>
    <w:rsid w:val="0009676E"/>
    <w:rsid w:val="000F23E1"/>
    <w:rsid w:val="00132E40"/>
    <w:rsid w:val="0013337C"/>
    <w:rsid w:val="00145567"/>
    <w:rsid w:val="001468DF"/>
    <w:rsid w:val="001532ED"/>
    <w:rsid w:val="0018628D"/>
    <w:rsid w:val="001A4EA9"/>
    <w:rsid w:val="001D777B"/>
    <w:rsid w:val="001F4F98"/>
    <w:rsid w:val="00200B99"/>
    <w:rsid w:val="002220B4"/>
    <w:rsid w:val="00243D2F"/>
    <w:rsid w:val="002529B9"/>
    <w:rsid w:val="00274AE6"/>
    <w:rsid w:val="002A186C"/>
    <w:rsid w:val="002C701D"/>
    <w:rsid w:val="003264FB"/>
    <w:rsid w:val="003407D7"/>
    <w:rsid w:val="0034593D"/>
    <w:rsid w:val="00357A9F"/>
    <w:rsid w:val="00370EE3"/>
    <w:rsid w:val="003A5B90"/>
    <w:rsid w:val="003B6233"/>
    <w:rsid w:val="003C7CCE"/>
    <w:rsid w:val="003D53DD"/>
    <w:rsid w:val="003E3D8C"/>
    <w:rsid w:val="003E782E"/>
    <w:rsid w:val="003F2106"/>
    <w:rsid w:val="003F585A"/>
    <w:rsid w:val="00406C63"/>
    <w:rsid w:val="00463B82"/>
    <w:rsid w:val="0047055E"/>
    <w:rsid w:val="00486B18"/>
    <w:rsid w:val="00491AFC"/>
    <w:rsid w:val="004B31C6"/>
    <w:rsid w:val="004F6033"/>
    <w:rsid w:val="004F71C4"/>
    <w:rsid w:val="00501ECA"/>
    <w:rsid w:val="00525C15"/>
    <w:rsid w:val="00546BA6"/>
    <w:rsid w:val="00581909"/>
    <w:rsid w:val="00593738"/>
    <w:rsid w:val="005D1F47"/>
    <w:rsid w:val="005D6430"/>
    <w:rsid w:val="006058DC"/>
    <w:rsid w:val="00636388"/>
    <w:rsid w:val="00655FB8"/>
    <w:rsid w:val="006602FC"/>
    <w:rsid w:val="006624BA"/>
    <w:rsid w:val="006831BE"/>
    <w:rsid w:val="0069585D"/>
    <w:rsid w:val="006A69CF"/>
    <w:rsid w:val="006A6C7E"/>
    <w:rsid w:val="006B1D51"/>
    <w:rsid w:val="006D00F1"/>
    <w:rsid w:val="006E3D8F"/>
    <w:rsid w:val="006F254B"/>
    <w:rsid w:val="00730D9B"/>
    <w:rsid w:val="007B1274"/>
    <w:rsid w:val="007E1BA8"/>
    <w:rsid w:val="00845193"/>
    <w:rsid w:val="00877F3D"/>
    <w:rsid w:val="008867DB"/>
    <w:rsid w:val="008A3EDD"/>
    <w:rsid w:val="008B57B1"/>
    <w:rsid w:val="008B714C"/>
    <w:rsid w:val="008F5F44"/>
    <w:rsid w:val="0094694A"/>
    <w:rsid w:val="00966ACB"/>
    <w:rsid w:val="00992CF5"/>
    <w:rsid w:val="009F3274"/>
    <w:rsid w:val="00A10307"/>
    <w:rsid w:val="00A2534E"/>
    <w:rsid w:val="00A377BD"/>
    <w:rsid w:val="00A50020"/>
    <w:rsid w:val="00A66CE9"/>
    <w:rsid w:val="00A954F4"/>
    <w:rsid w:val="00AA3ECD"/>
    <w:rsid w:val="00AA4EB8"/>
    <w:rsid w:val="00AD34C2"/>
    <w:rsid w:val="00B00AAC"/>
    <w:rsid w:val="00B2230A"/>
    <w:rsid w:val="00B3711D"/>
    <w:rsid w:val="00B45942"/>
    <w:rsid w:val="00B573D5"/>
    <w:rsid w:val="00B74F95"/>
    <w:rsid w:val="00BC5A6A"/>
    <w:rsid w:val="00C23460"/>
    <w:rsid w:val="00C30899"/>
    <w:rsid w:val="00C30A34"/>
    <w:rsid w:val="00C57130"/>
    <w:rsid w:val="00C7701F"/>
    <w:rsid w:val="00C967C1"/>
    <w:rsid w:val="00CC1877"/>
    <w:rsid w:val="00CD0074"/>
    <w:rsid w:val="00D05BC5"/>
    <w:rsid w:val="00D31093"/>
    <w:rsid w:val="00D52CFB"/>
    <w:rsid w:val="00D66E2A"/>
    <w:rsid w:val="00DA7364"/>
    <w:rsid w:val="00DC2FCA"/>
    <w:rsid w:val="00E00E20"/>
    <w:rsid w:val="00E118E3"/>
    <w:rsid w:val="00E34D3F"/>
    <w:rsid w:val="00E73ACD"/>
    <w:rsid w:val="00EC4370"/>
    <w:rsid w:val="00ED306B"/>
    <w:rsid w:val="00EF3981"/>
    <w:rsid w:val="00F208B5"/>
    <w:rsid w:val="00F37D1E"/>
    <w:rsid w:val="00FB2998"/>
    <w:rsid w:val="00FC67B9"/>
    <w:rsid w:val="00FE6157"/>
    <w:rsid w:val="00FF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9EDF1"/>
  <w15:docId w15:val="{31FE0FEE-E586-4BA1-9BBC-0B2E1D69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37C"/>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qFormat/>
    <w:rsid w:val="0013337C"/>
    <w:pPr>
      <w:suppressAutoHyphens w:val="0"/>
      <w:ind w:left="720"/>
    </w:pPr>
    <w:rPr>
      <w:lang w:eastAsia="en-US"/>
    </w:rPr>
  </w:style>
  <w:style w:type="paragraph" w:customStyle="1" w:styleId="Numeracija">
    <w:name w:val="Numeracija"/>
    <w:basedOn w:val="Normal"/>
    <w:rsid w:val="0013337C"/>
    <w:pPr>
      <w:numPr>
        <w:numId w:val="1"/>
      </w:numPr>
      <w:suppressAutoHyphens w:val="0"/>
      <w:jc w:val="both"/>
    </w:pPr>
    <w:rPr>
      <w:sz w:val="26"/>
      <w:lang w:val="lv-LV" w:eastAsia="en-US"/>
    </w:rPr>
  </w:style>
  <w:style w:type="paragraph" w:styleId="ListParagraph">
    <w:name w:val="List Paragraph"/>
    <w:basedOn w:val="Normal"/>
    <w:uiPriority w:val="34"/>
    <w:qFormat/>
    <w:rsid w:val="0013337C"/>
    <w:pPr>
      <w:suppressAutoHyphens w:val="0"/>
      <w:ind w:left="720"/>
      <w:contextualSpacing/>
    </w:pPr>
    <w:rPr>
      <w:lang w:eastAsia="en-US"/>
    </w:rPr>
  </w:style>
  <w:style w:type="paragraph" w:styleId="Index1">
    <w:name w:val="index 1"/>
    <w:basedOn w:val="Normal"/>
    <w:next w:val="Normal"/>
    <w:autoRedefine/>
    <w:uiPriority w:val="99"/>
    <w:unhideWhenUsed/>
    <w:rsid w:val="008F5F44"/>
    <w:pPr>
      <w:numPr>
        <w:numId w:val="3"/>
      </w:numPr>
      <w:suppressAutoHyphens w:val="0"/>
    </w:pPr>
    <w:rPr>
      <w:sz w:val="22"/>
      <w:szCs w:val="22"/>
      <w:lang w:val="lv-LV" w:eastAsia="lv-LV"/>
    </w:rPr>
  </w:style>
  <w:style w:type="character" w:styleId="CommentReference">
    <w:name w:val="annotation reference"/>
    <w:basedOn w:val="DefaultParagraphFont"/>
    <w:uiPriority w:val="99"/>
    <w:semiHidden/>
    <w:unhideWhenUsed/>
    <w:rsid w:val="0013337C"/>
    <w:rPr>
      <w:sz w:val="16"/>
      <w:szCs w:val="16"/>
    </w:rPr>
  </w:style>
  <w:style w:type="paragraph" w:styleId="CommentText">
    <w:name w:val="annotation text"/>
    <w:basedOn w:val="Normal"/>
    <w:link w:val="CommentTextChar"/>
    <w:uiPriority w:val="99"/>
    <w:semiHidden/>
    <w:unhideWhenUsed/>
    <w:rsid w:val="0013337C"/>
    <w:rPr>
      <w:sz w:val="20"/>
      <w:szCs w:val="20"/>
    </w:rPr>
  </w:style>
  <w:style w:type="character" w:customStyle="1" w:styleId="CommentTextChar">
    <w:name w:val="Comment Text Char"/>
    <w:basedOn w:val="DefaultParagraphFont"/>
    <w:link w:val="CommentText"/>
    <w:uiPriority w:val="99"/>
    <w:semiHidden/>
    <w:rsid w:val="0013337C"/>
    <w:rPr>
      <w:rFonts w:ascii="Times New Roman" w:eastAsia="Times New Roman" w:hAnsi="Times New Roman" w:cs="Times New Roman"/>
      <w:sz w:val="20"/>
      <w:szCs w:val="20"/>
      <w:lang w:val="en-GB" w:eastAsia="ar-SA"/>
    </w:rPr>
  </w:style>
  <w:style w:type="paragraph" w:styleId="BalloonText">
    <w:name w:val="Balloon Text"/>
    <w:basedOn w:val="Normal"/>
    <w:link w:val="BalloonTextChar"/>
    <w:uiPriority w:val="99"/>
    <w:semiHidden/>
    <w:unhideWhenUsed/>
    <w:rsid w:val="001333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7C"/>
    <w:rPr>
      <w:rFonts w:ascii="Segoe UI" w:eastAsia="Times New Roman" w:hAnsi="Segoe UI" w:cs="Segoe UI"/>
      <w:sz w:val="18"/>
      <w:szCs w:val="18"/>
      <w:lang w:val="en-GB" w:eastAsia="ar-SA"/>
    </w:rPr>
  </w:style>
  <w:style w:type="paragraph" w:styleId="CommentSubject">
    <w:name w:val="annotation subject"/>
    <w:basedOn w:val="CommentText"/>
    <w:next w:val="CommentText"/>
    <w:link w:val="CommentSubjectChar"/>
    <w:uiPriority w:val="99"/>
    <w:semiHidden/>
    <w:unhideWhenUsed/>
    <w:rsid w:val="0013337C"/>
    <w:rPr>
      <w:b/>
      <w:bCs/>
    </w:rPr>
  </w:style>
  <w:style w:type="character" w:customStyle="1" w:styleId="CommentSubjectChar">
    <w:name w:val="Comment Subject Char"/>
    <w:basedOn w:val="CommentTextChar"/>
    <w:link w:val="CommentSubject"/>
    <w:uiPriority w:val="99"/>
    <w:semiHidden/>
    <w:rsid w:val="0013337C"/>
    <w:rPr>
      <w:rFonts w:ascii="Times New Roman" w:eastAsia="Times New Roman" w:hAnsi="Times New Roman" w:cs="Times New Roman"/>
      <w:b/>
      <w:bCs/>
      <w:sz w:val="20"/>
      <w:szCs w:val="20"/>
      <w:lang w:val="en-GB" w:eastAsia="ar-SA"/>
    </w:rPr>
  </w:style>
  <w:style w:type="table" w:styleId="TableGrid">
    <w:name w:val="Table Grid"/>
    <w:basedOn w:val="TableNormal"/>
    <w:uiPriority w:val="39"/>
    <w:rsid w:val="0005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A34"/>
    <w:pPr>
      <w:tabs>
        <w:tab w:val="center" w:pos="4153"/>
        <w:tab w:val="right" w:pos="8306"/>
      </w:tabs>
    </w:pPr>
  </w:style>
  <w:style w:type="character" w:customStyle="1" w:styleId="HeaderChar">
    <w:name w:val="Header Char"/>
    <w:basedOn w:val="DefaultParagraphFont"/>
    <w:link w:val="Header"/>
    <w:uiPriority w:val="99"/>
    <w:rsid w:val="00C30A34"/>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unhideWhenUsed/>
    <w:rsid w:val="00C30A34"/>
    <w:pPr>
      <w:tabs>
        <w:tab w:val="center" w:pos="4153"/>
        <w:tab w:val="right" w:pos="8306"/>
      </w:tabs>
    </w:pPr>
  </w:style>
  <w:style w:type="character" w:customStyle="1" w:styleId="FooterChar">
    <w:name w:val="Footer Char"/>
    <w:basedOn w:val="DefaultParagraphFont"/>
    <w:link w:val="Footer"/>
    <w:uiPriority w:val="99"/>
    <w:rsid w:val="00C30A34"/>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96EF4-029C-4A09-8DEF-08FE2715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3457</Words>
  <Characters>1971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Benga</dc:creator>
  <cp:lastModifiedBy>Artis Celitāns</cp:lastModifiedBy>
  <cp:revision>6</cp:revision>
  <cp:lastPrinted>2016-06-09T05:58:00Z</cp:lastPrinted>
  <dcterms:created xsi:type="dcterms:W3CDTF">2018-01-08T12:03:00Z</dcterms:created>
  <dcterms:modified xsi:type="dcterms:W3CDTF">2018-01-09T08:48:00Z</dcterms:modified>
</cp:coreProperties>
</file>