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7D" w:rsidRDefault="00011D7D" w:rsidP="00011D7D">
      <w:pPr>
        <w:spacing w:after="0" w:line="240" w:lineRule="auto"/>
        <w:jc w:val="center"/>
        <w:rPr>
          <w:rFonts w:ascii="Arial" w:hAnsi="Arial" w:cs="Arial"/>
        </w:rPr>
      </w:pPr>
    </w:p>
    <w:p w:rsidR="00011D7D" w:rsidRPr="00044017" w:rsidRDefault="00011D7D" w:rsidP="00011D7D">
      <w:pPr>
        <w:spacing w:after="0" w:line="240" w:lineRule="auto"/>
        <w:rPr>
          <w:rFonts w:ascii="Times New Roman" w:eastAsia="Cambria" w:hAnsi="Times New Roman" w:cs="Times New Roman"/>
          <w:bCs/>
          <w:sz w:val="24"/>
          <w:szCs w:val="24"/>
        </w:rPr>
      </w:pPr>
    </w:p>
    <w:p w:rsidR="00011D7D" w:rsidRDefault="00011D7D" w:rsidP="00011D7D">
      <w:pPr>
        <w:spacing w:after="0" w:line="240" w:lineRule="auto"/>
        <w:ind w:right="-170"/>
        <w:jc w:val="center"/>
        <w:rPr>
          <w:rFonts w:ascii="Times New Roman" w:eastAsia="Cambria" w:hAnsi="Times New Roman" w:cs="Times New Roman"/>
          <w:sz w:val="24"/>
          <w:szCs w:val="24"/>
        </w:rPr>
      </w:pPr>
      <w:r w:rsidRPr="00FB72AD">
        <w:rPr>
          <w:rFonts w:ascii="Times New Roman" w:eastAsia="Cambria" w:hAnsi="Times New Roman" w:cs="Times New Roman"/>
          <w:sz w:val="24"/>
          <w:szCs w:val="24"/>
        </w:rPr>
        <w:t xml:space="preserve">Publisko iepirkumu likuma 9.panta iepirkuma </w:t>
      </w:r>
    </w:p>
    <w:p w:rsidR="00694EEE" w:rsidRPr="00694EEE" w:rsidRDefault="00694EEE" w:rsidP="00694EEE">
      <w:pPr>
        <w:spacing w:after="0" w:line="240" w:lineRule="auto"/>
        <w:ind w:right="-170"/>
        <w:jc w:val="center"/>
        <w:rPr>
          <w:rFonts w:ascii="Times New Roman" w:hAnsi="Times New Roman" w:cs="Times New Roman"/>
          <w:b/>
          <w:bCs/>
          <w:sz w:val="24"/>
          <w:szCs w:val="24"/>
        </w:rPr>
      </w:pPr>
      <w:r w:rsidRPr="00694EEE">
        <w:rPr>
          <w:rFonts w:ascii="Times New Roman" w:hAnsi="Times New Roman" w:cs="Times New Roman"/>
          <w:b/>
          <w:sz w:val="24"/>
          <w:szCs w:val="24"/>
        </w:rPr>
        <w:t>„RTU pamattīkla aparatūras garantijas nodrošināšanas, pamattīkla un BGP maršrutētāja konfigurēšanas un pārvaldības pakalpojumu nodrošināšana</w:t>
      </w:r>
      <w:r w:rsidRPr="00694EEE">
        <w:rPr>
          <w:rFonts w:ascii="Times New Roman" w:hAnsi="Times New Roman" w:cs="Times New Roman"/>
          <w:b/>
          <w:bCs/>
          <w:sz w:val="24"/>
          <w:szCs w:val="24"/>
        </w:rPr>
        <w:t>”</w:t>
      </w:r>
    </w:p>
    <w:p w:rsidR="00011D7D" w:rsidRPr="00FB72AD" w:rsidRDefault="00694EEE" w:rsidP="00011D7D">
      <w:pPr>
        <w:tabs>
          <w:tab w:val="center" w:pos="4977"/>
          <w:tab w:val="left" w:pos="7725"/>
        </w:tabs>
        <w:spacing w:after="0" w:line="240" w:lineRule="auto"/>
        <w:jc w:val="center"/>
        <w:rPr>
          <w:rFonts w:ascii="Times New Roman" w:eastAsia="Times New Roman" w:hAnsi="Times New Roman" w:cs="Times New Roman"/>
          <w:sz w:val="24"/>
          <w:szCs w:val="24"/>
        </w:rPr>
      </w:pPr>
      <w:r w:rsidRPr="00FB72AD">
        <w:rPr>
          <w:rFonts w:ascii="Times New Roman" w:eastAsia="Times New Roman" w:hAnsi="Times New Roman" w:cs="Times New Roman"/>
          <w:sz w:val="24"/>
          <w:szCs w:val="24"/>
        </w:rPr>
        <w:t xml:space="preserve"> </w:t>
      </w:r>
      <w:r w:rsidR="00011D7D" w:rsidRPr="00FB72AD">
        <w:rPr>
          <w:rFonts w:ascii="Times New Roman" w:eastAsia="Times New Roman" w:hAnsi="Times New Roman" w:cs="Times New Roman"/>
          <w:sz w:val="24"/>
          <w:szCs w:val="24"/>
        </w:rPr>
        <w:t>(Identifikācijas Nr. RTU – 2017/</w:t>
      </w:r>
      <w:r>
        <w:rPr>
          <w:rFonts w:ascii="Times New Roman" w:eastAsia="Times New Roman" w:hAnsi="Times New Roman" w:cs="Times New Roman"/>
          <w:sz w:val="24"/>
          <w:szCs w:val="24"/>
        </w:rPr>
        <w:t>119</w:t>
      </w:r>
      <w:r w:rsidR="00011D7D" w:rsidRPr="00FB72AD">
        <w:rPr>
          <w:rFonts w:ascii="Times New Roman" w:eastAsia="Times New Roman" w:hAnsi="Times New Roman" w:cs="Times New Roman"/>
          <w:sz w:val="24"/>
          <w:szCs w:val="24"/>
        </w:rPr>
        <w:t>)</w:t>
      </w:r>
    </w:p>
    <w:p w:rsidR="00011D7D" w:rsidRPr="00044017" w:rsidRDefault="00011D7D" w:rsidP="00011D7D">
      <w:pPr>
        <w:spacing w:after="0" w:line="240" w:lineRule="auto"/>
        <w:rPr>
          <w:rFonts w:ascii="Times New Roman" w:eastAsia="Cambria" w:hAnsi="Times New Roman" w:cs="Times New Roman"/>
          <w:bCs/>
          <w:sz w:val="24"/>
          <w:szCs w:val="24"/>
        </w:rPr>
      </w:pPr>
    </w:p>
    <w:p w:rsidR="00011D7D" w:rsidRDefault="00011D7D" w:rsidP="00011D7D">
      <w:pPr>
        <w:spacing w:after="0" w:line="240" w:lineRule="auto"/>
        <w:rPr>
          <w:rFonts w:ascii="Times New Roman" w:eastAsia="Gulim" w:hAnsi="Times New Roman" w:cs="Times New Roman"/>
          <w:sz w:val="24"/>
          <w:szCs w:val="24"/>
        </w:rPr>
      </w:pPr>
    </w:p>
    <w:p w:rsidR="00011D7D" w:rsidRPr="00951D9C" w:rsidRDefault="00011D7D" w:rsidP="00011D7D">
      <w:pPr>
        <w:spacing w:after="0" w:line="240" w:lineRule="auto"/>
        <w:rPr>
          <w:rFonts w:ascii="Times New Roman" w:eastAsia="Gulim" w:hAnsi="Times New Roman" w:cs="Times New Roman"/>
          <w:sz w:val="24"/>
          <w:szCs w:val="24"/>
        </w:rPr>
      </w:pPr>
      <w:r w:rsidRPr="00951D9C">
        <w:rPr>
          <w:rFonts w:ascii="Times New Roman" w:eastAsia="Gulim" w:hAnsi="Times New Roman" w:cs="Times New Roman"/>
          <w:sz w:val="24"/>
          <w:szCs w:val="24"/>
        </w:rPr>
        <w:t xml:space="preserve">Rīgā, 2017. </w:t>
      </w:r>
      <w:r w:rsidR="00694EEE">
        <w:rPr>
          <w:rFonts w:ascii="Times New Roman" w:eastAsia="Gulim" w:hAnsi="Times New Roman" w:cs="Times New Roman"/>
          <w:sz w:val="24"/>
          <w:szCs w:val="24"/>
        </w:rPr>
        <w:t>gada 15</w:t>
      </w:r>
      <w:r w:rsidRPr="00951D9C">
        <w:rPr>
          <w:rFonts w:ascii="Times New Roman" w:eastAsia="Gulim" w:hAnsi="Times New Roman" w:cs="Times New Roman"/>
          <w:sz w:val="24"/>
          <w:szCs w:val="24"/>
        </w:rPr>
        <w:t xml:space="preserve">. </w:t>
      </w:r>
      <w:r w:rsidR="00694EEE">
        <w:rPr>
          <w:rFonts w:ascii="Times New Roman" w:eastAsia="Gulim" w:hAnsi="Times New Roman" w:cs="Times New Roman"/>
          <w:sz w:val="24"/>
          <w:szCs w:val="24"/>
        </w:rPr>
        <w:t>decembrī</w:t>
      </w:r>
    </w:p>
    <w:p w:rsidR="00011D7D" w:rsidRPr="00951D9C" w:rsidRDefault="00011D7D" w:rsidP="00011D7D">
      <w:pPr>
        <w:spacing w:after="0" w:line="240" w:lineRule="auto"/>
        <w:rPr>
          <w:rFonts w:ascii="Times New Roman" w:eastAsia="Gulim" w:hAnsi="Times New Roman" w:cs="Times New Roman"/>
          <w:sz w:val="24"/>
          <w:szCs w:val="24"/>
        </w:rPr>
      </w:pPr>
    </w:p>
    <w:p w:rsidR="00694EEE" w:rsidRDefault="00011D7D" w:rsidP="00694EEE">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sz w:val="24"/>
          <w:szCs w:val="24"/>
          <w:lang w:eastAsia="lv-LV"/>
        </w:rPr>
        <w:t>Pasūtītāja nosaukums, reģistrācijas numurs</w:t>
      </w:r>
      <w:r w:rsidRPr="00951D9C">
        <w:rPr>
          <w:rFonts w:ascii="Times New Roman" w:eastAsia="Times New Roman" w:hAnsi="Times New Roman" w:cs="Times New Roman"/>
          <w:bCs/>
          <w:sz w:val="24"/>
          <w:szCs w:val="24"/>
          <w:lang w:eastAsia="lv-LV"/>
        </w:rPr>
        <w:t xml:space="preserve">: </w:t>
      </w:r>
      <w:r w:rsidRPr="00951D9C">
        <w:rPr>
          <w:rFonts w:ascii="Times New Roman" w:eastAsia="Times New Roman" w:hAnsi="Times New Roman" w:cs="Times New Roman"/>
          <w:sz w:val="24"/>
          <w:szCs w:val="24"/>
          <w:lang w:eastAsia="lv-LV"/>
        </w:rPr>
        <w:t>Rīgas Tehniskā universitāte, izglītības iestādes reģistrācijas Nr. 3341000709.</w:t>
      </w:r>
    </w:p>
    <w:p w:rsidR="00694EEE" w:rsidRPr="00694EEE" w:rsidRDefault="00011D7D" w:rsidP="00694EEE">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94EEE">
        <w:rPr>
          <w:rFonts w:ascii="Times New Roman" w:eastAsia="Times New Roman" w:hAnsi="Times New Roman" w:cs="Times New Roman"/>
          <w:b/>
          <w:bCs/>
          <w:sz w:val="24"/>
          <w:szCs w:val="24"/>
          <w:lang w:eastAsia="lv-LV"/>
        </w:rPr>
        <w:t xml:space="preserve">Iepirkuma priekšmets: </w:t>
      </w:r>
      <w:r w:rsidR="00694EEE" w:rsidRPr="00694EEE">
        <w:rPr>
          <w:rFonts w:ascii="Times New Roman" w:hAnsi="Times New Roman" w:cs="Times New Roman"/>
          <w:sz w:val="24"/>
          <w:szCs w:val="24"/>
        </w:rPr>
        <w:t>RTU pamattīkla aparatūras garantijas nodrošināšanas, pamattīkla un BGP maršrutētāja konfigurēšanas un pārvaldības pakalpojumu nodrošināšana</w:t>
      </w:r>
      <w:r w:rsidR="00694EEE">
        <w:rPr>
          <w:rFonts w:ascii="Times New Roman" w:hAnsi="Times New Roman" w:cs="Times New Roman"/>
          <w:bCs/>
          <w:sz w:val="24"/>
          <w:szCs w:val="24"/>
        </w:rPr>
        <w:t xml:space="preserve"> saskaņā ar tehnisko specifikāciju. </w:t>
      </w:r>
    </w:p>
    <w:p w:rsidR="00011D7D" w:rsidRPr="00694EEE" w:rsidRDefault="00011D7D" w:rsidP="0070093B">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94EEE">
        <w:rPr>
          <w:rFonts w:ascii="Times New Roman" w:eastAsia="Times New Roman" w:hAnsi="Times New Roman" w:cs="Times New Roman"/>
          <w:b/>
          <w:bCs/>
          <w:sz w:val="24"/>
          <w:szCs w:val="24"/>
        </w:rPr>
        <w:t>Identifikācijas numurs:</w:t>
      </w:r>
      <w:r w:rsidR="00694EEE" w:rsidRPr="00694EEE">
        <w:rPr>
          <w:rFonts w:ascii="Times New Roman" w:eastAsia="Times New Roman" w:hAnsi="Times New Roman" w:cs="Times New Roman"/>
          <w:bCs/>
          <w:sz w:val="24"/>
          <w:szCs w:val="24"/>
        </w:rPr>
        <w:t xml:space="preserve"> RTU – 2017/119</w:t>
      </w:r>
      <w:r w:rsidRPr="00694EEE">
        <w:rPr>
          <w:rFonts w:ascii="Times New Roman" w:eastAsia="Times New Roman" w:hAnsi="Times New Roman" w:cs="Times New Roman"/>
          <w:bCs/>
          <w:sz w:val="24"/>
          <w:szCs w:val="24"/>
        </w:rPr>
        <w:t>.</w:t>
      </w:r>
    </w:p>
    <w:p w:rsidR="00011D7D" w:rsidRPr="00951D9C" w:rsidRDefault="00011D7D" w:rsidP="00011D7D">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951D9C">
          <w:rPr>
            <w:rFonts w:ascii="Times New Roman" w:eastAsia="Times New Roman" w:hAnsi="Times New Roman" w:cs="Times New Roman"/>
            <w:b/>
            <w:bCs/>
            <w:sz w:val="24"/>
            <w:szCs w:val="24"/>
            <w:lang w:eastAsia="lv-LV"/>
          </w:rPr>
          <w:t>Paziņojums</w:t>
        </w:r>
      </w:smartTag>
      <w:r w:rsidRPr="00951D9C">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951D9C">
          <w:rPr>
            <w:rFonts w:ascii="Times New Roman" w:eastAsia="Times New Roman" w:hAnsi="Times New Roman" w:cs="Times New Roman"/>
            <w:b/>
            <w:bCs/>
            <w:sz w:val="24"/>
            <w:szCs w:val="24"/>
            <w:lang w:eastAsia="lv-LV"/>
          </w:rPr>
          <w:t>līgumu</w:t>
        </w:r>
      </w:smartTag>
      <w:r w:rsidRPr="00951D9C">
        <w:rPr>
          <w:rFonts w:ascii="Times New Roman" w:eastAsia="Times New Roman" w:hAnsi="Times New Roman" w:cs="Times New Roman"/>
          <w:b/>
          <w:bCs/>
          <w:sz w:val="24"/>
          <w:szCs w:val="24"/>
          <w:lang w:eastAsia="lv-LV"/>
        </w:rPr>
        <w:t xml:space="preserve"> publicēts internetā (</w:t>
      </w:r>
      <w:hyperlink r:id="rId5" w:history="1">
        <w:r w:rsidRPr="00951D9C">
          <w:rPr>
            <w:rFonts w:ascii="Times New Roman" w:eastAsia="Times New Roman" w:hAnsi="Times New Roman" w:cs="Times New Roman"/>
            <w:b/>
            <w:bCs/>
            <w:color w:val="000000"/>
            <w:sz w:val="24"/>
            <w:szCs w:val="24"/>
            <w:lang w:eastAsia="lv-LV"/>
          </w:rPr>
          <w:t>www.iub.gov.lv</w:t>
        </w:r>
      </w:hyperlink>
      <w:r w:rsidRPr="00951D9C">
        <w:rPr>
          <w:rFonts w:ascii="Times New Roman" w:eastAsia="Times New Roman" w:hAnsi="Times New Roman" w:cs="Times New Roman"/>
          <w:b/>
          <w:bCs/>
          <w:sz w:val="24"/>
          <w:szCs w:val="24"/>
          <w:lang w:eastAsia="lv-LV"/>
        </w:rPr>
        <w:t>):</w:t>
      </w:r>
      <w:r w:rsidR="00694EEE">
        <w:rPr>
          <w:rFonts w:ascii="Times New Roman" w:eastAsia="Times New Roman" w:hAnsi="Times New Roman" w:cs="Times New Roman"/>
          <w:bCs/>
          <w:sz w:val="24"/>
          <w:szCs w:val="24"/>
          <w:lang w:eastAsia="lv-LV"/>
        </w:rPr>
        <w:t xml:space="preserve"> 28</w:t>
      </w:r>
      <w:r w:rsidRPr="00951D9C">
        <w:rPr>
          <w:rFonts w:ascii="Times New Roman" w:eastAsia="Times New Roman" w:hAnsi="Times New Roman" w:cs="Times New Roman"/>
          <w:bCs/>
          <w:sz w:val="24"/>
          <w:szCs w:val="24"/>
          <w:lang w:eastAsia="lv-LV"/>
        </w:rPr>
        <w:t>.</w:t>
      </w:r>
      <w:r w:rsidR="00694EEE">
        <w:rPr>
          <w:rFonts w:ascii="Times New Roman" w:eastAsia="Times New Roman" w:hAnsi="Times New Roman" w:cs="Times New Roman"/>
          <w:bCs/>
          <w:sz w:val="24"/>
          <w:szCs w:val="24"/>
          <w:lang w:eastAsia="lv-LV"/>
        </w:rPr>
        <w:t>11</w:t>
      </w:r>
      <w:r w:rsidRPr="00951D9C">
        <w:rPr>
          <w:rFonts w:ascii="Times New Roman" w:eastAsia="Times New Roman" w:hAnsi="Times New Roman" w:cs="Times New Roman"/>
          <w:bCs/>
          <w:sz w:val="24"/>
          <w:szCs w:val="24"/>
          <w:lang w:eastAsia="lv-LV"/>
        </w:rPr>
        <w:t xml:space="preserve">.2017. Iepirkuma procedūra ir rīkota saskaņā ar Publisko iepirkumu likuma 9.pantu. </w:t>
      </w:r>
    </w:p>
    <w:p w:rsidR="00011D7D" w:rsidRPr="00951D9C" w:rsidRDefault="00011D7D" w:rsidP="00011D7D">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bCs/>
          <w:sz w:val="24"/>
          <w:szCs w:val="24"/>
          <w:lang w:eastAsia="lv-LV"/>
        </w:rPr>
        <w:t xml:space="preserve">Iepirkuma komisija izveidota: </w:t>
      </w:r>
      <w:r w:rsidRPr="00951D9C">
        <w:rPr>
          <w:rFonts w:ascii="Times New Roman" w:eastAsia="Times New Roman" w:hAnsi="Times New Roman" w:cs="Times New Roman"/>
          <w:bCs/>
          <w:sz w:val="24"/>
          <w:szCs w:val="24"/>
          <w:lang w:eastAsia="lv-LV"/>
        </w:rPr>
        <w:t xml:space="preserve">ar Rīgas Tehniskās universitātes finanšu prorektora           </w:t>
      </w:r>
      <w:r w:rsidR="00694EEE">
        <w:rPr>
          <w:rFonts w:ascii="Times New Roman" w:eastAsia="Times New Roman" w:hAnsi="Times New Roman" w:cs="Times New Roman"/>
          <w:bCs/>
          <w:sz w:val="24"/>
          <w:szCs w:val="24"/>
          <w:lang w:eastAsia="lv-LV"/>
        </w:rPr>
        <w:t>2017. gada 17</w:t>
      </w:r>
      <w:r w:rsidRPr="00951D9C">
        <w:rPr>
          <w:rFonts w:ascii="Times New Roman" w:eastAsia="Times New Roman" w:hAnsi="Times New Roman" w:cs="Times New Roman"/>
          <w:bCs/>
          <w:sz w:val="24"/>
          <w:szCs w:val="24"/>
          <w:lang w:eastAsia="lv-LV"/>
        </w:rPr>
        <w:t>.</w:t>
      </w:r>
      <w:r w:rsidR="00694EEE">
        <w:rPr>
          <w:rFonts w:ascii="Times New Roman" w:eastAsia="Times New Roman" w:hAnsi="Times New Roman" w:cs="Times New Roman"/>
          <w:bCs/>
          <w:sz w:val="24"/>
          <w:szCs w:val="24"/>
          <w:lang w:eastAsia="lv-LV"/>
        </w:rPr>
        <w:t>novembrarīkojumu Nr.03000-1.2/134</w:t>
      </w:r>
      <w:r w:rsidRPr="00951D9C">
        <w:rPr>
          <w:rFonts w:ascii="Times New Roman" w:eastAsia="Times New Roman" w:hAnsi="Times New Roman" w:cs="Times New Roman"/>
          <w:bCs/>
          <w:sz w:val="24"/>
          <w:szCs w:val="24"/>
          <w:lang w:eastAsia="lv-LV"/>
        </w:rPr>
        <w:t xml:space="preserve">. </w:t>
      </w:r>
    </w:p>
    <w:p w:rsidR="00011D7D" w:rsidRPr="00951D9C" w:rsidRDefault="00011D7D" w:rsidP="00011D7D">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bCs/>
          <w:sz w:val="24"/>
          <w:szCs w:val="24"/>
          <w:lang w:eastAsia="lv-LV"/>
        </w:rPr>
        <w:t>CPV nomenklatūras kods:</w:t>
      </w:r>
      <w:r w:rsidRPr="00951D9C">
        <w:rPr>
          <w:rFonts w:ascii="Times New Roman" w:eastAsia="Franklin Gothic Heavy" w:hAnsi="Times New Roman" w:cs="Times New Roman"/>
          <w:bCs/>
          <w:sz w:val="24"/>
          <w:szCs w:val="24"/>
        </w:rPr>
        <w:t xml:space="preserve"> </w:t>
      </w:r>
      <w:r w:rsidR="00694EEE">
        <w:rPr>
          <w:rFonts w:ascii="Times New Roman" w:hAnsi="Times New Roman" w:cs="Times New Roman"/>
          <w:color w:val="000000"/>
          <w:sz w:val="24"/>
          <w:szCs w:val="24"/>
        </w:rPr>
        <w:t>72400000-4 (Interneta pakalpojumi</w:t>
      </w:r>
      <w:r w:rsidRPr="00951D9C">
        <w:rPr>
          <w:rFonts w:ascii="Times New Roman" w:hAnsi="Times New Roman" w:cs="Times New Roman"/>
          <w:color w:val="000000"/>
          <w:sz w:val="24"/>
          <w:szCs w:val="24"/>
        </w:rPr>
        <w:t>).</w:t>
      </w:r>
    </w:p>
    <w:p w:rsidR="00011D7D" w:rsidRPr="00685584" w:rsidRDefault="00011D7D" w:rsidP="00011D7D">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85584">
        <w:rPr>
          <w:rFonts w:ascii="Times New Roman" w:eastAsia="Times New Roman" w:hAnsi="Times New Roman" w:cs="Times New Roman"/>
          <w:b/>
          <w:bCs/>
          <w:sz w:val="24"/>
          <w:szCs w:val="24"/>
          <w:lang w:eastAsia="lv-LV"/>
        </w:rPr>
        <w:t xml:space="preserve">Lēmums: Ievērojot to, ka </w:t>
      </w:r>
      <w:r w:rsidR="000841F9" w:rsidRPr="000841F9">
        <w:rPr>
          <w:rFonts w:ascii="Times New Roman" w:eastAsia="Times New Roman" w:hAnsi="Times New Roman" w:cs="Times New Roman"/>
          <w:b/>
          <w:bCs/>
          <w:i/>
          <w:sz w:val="24"/>
          <w:szCs w:val="24"/>
          <w:lang w:eastAsia="lv-LV"/>
        </w:rPr>
        <w:t>P</w:t>
      </w:r>
      <w:r w:rsidR="00694EEE" w:rsidRPr="000841F9">
        <w:rPr>
          <w:rFonts w:ascii="Times New Roman" w:eastAsia="Times New Roman" w:hAnsi="Times New Roman" w:cs="Times New Roman"/>
          <w:b/>
          <w:bCs/>
          <w:i/>
          <w:sz w:val="24"/>
          <w:szCs w:val="24"/>
          <w:lang w:eastAsia="lv-LV"/>
        </w:rPr>
        <w:t>aziņojumā par plānoto līgumu</w:t>
      </w:r>
      <w:r w:rsidR="00694EEE">
        <w:rPr>
          <w:rFonts w:ascii="Times New Roman" w:eastAsia="Times New Roman" w:hAnsi="Times New Roman" w:cs="Times New Roman"/>
          <w:b/>
          <w:bCs/>
          <w:sz w:val="24"/>
          <w:szCs w:val="24"/>
          <w:lang w:eastAsia="lv-LV"/>
        </w:rPr>
        <w:t xml:space="preserve"> noteiktajā termiņā, respektīvi, līdz 2017.gada 11.decembra plkst. 10:00</w:t>
      </w:r>
      <w:r w:rsidR="000841F9">
        <w:rPr>
          <w:rFonts w:ascii="Times New Roman" w:eastAsia="Times New Roman" w:hAnsi="Times New Roman" w:cs="Times New Roman"/>
          <w:b/>
          <w:bCs/>
          <w:sz w:val="24"/>
          <w:szCs w:val="24"/>
          <w:lang w:eastAsia="lv-LV"/>
        </w:rPr>
        <w:t>,</w:t>
      </w:r>
      <w:r w:rsidR="00694EEE">
        <w:rPr>
          <w:rFonts w:ascii="Times New Roman" w:eastAsia="Times New Roman" w:hAnsi="Times New Roman" w:cs="Times New Roman"/>
          <w:b/>
          <w:bCs/>
          <w:sz w:val="24"/>
          <w:szCs w:val="24"/>
          <w:lang w:eastAsia="lv-LV"/>
        </w:rPr>
        <w:t xml:space="preserve"> vispār netika iesniegti piedāvājumi</w:t>
      </w:r>
      <w:r w:rsidRPr="00685584">
        <w:rPr>
          <w:rFonts w:ascii="Times New Roman" w:eastAsia="Times New Roman" w:hAnsi="Times New Roman" w:cs="Times New Roman"/>
          <w:b/>
          <w:bCs/>
          <w:sz w:val="24"/>
          <w:szCs w:val="24"/>
          <w:lang w:eastAsia="lv-LV"/>
        </w:rPr>
        <w:t xml:space="preserve">, pamatojoties </w:t>
      </w:r>
      <w:r>
        <w:rPr>
          <w:rFonts w:ascii="Times New Roman" w:eastAsia="Times New Roman" w:hAnsi="Times New Roman" w:cs="Times New Roman"/>
          <w:b/>
          <w:bCs/>
          <w:sz w:val="24"/>
          <w:szCs w:val="24"/>
          <w:lang w:eastAsia="lv-LV"/>
        </w:rPr>
        <w:t>uz</w:t>
      </w:r>
      <w:r w:rsidRPr="00685584">
        <w:rPr>
          <w:rFonts w:ascii="Times New Roman" w:eastAsia="Times New Roman" w:hAnsi="Times New Roman" w:cs="Times New Roman"/>
          <w:b/>
          <w:bCs/>
          <w:sz w:val="24"/>
          <w:szCs w:val="24"/>
          <w:lang w:eastAsia="lv-LV"/>
        </w:rPr>
        <w:t xml:space="preserve"> </w:t>
      </w:r>
      <w:r w:rsidRPr="00685584">
        <w:rPr>
          <w:rFonts w:ascii="Times New Roman" w:hAnsi="Times New Roman" w:cs="Times New Roman"/>
          <w:b/>
          <w:sz w:val="24"/>
          <w:szCs w:val="24"/>
          <w:shd w:val="clear" w:color="auto" w:fill="FFFFFF"/>
        </w:rPr>
        <w:t>Publisko iepirkumu likuma 9.panta trīspadsmito daļu</w:t>
      </w:r>
      <w:r w:rsidR="00694EEE">
        <w:rPr>
          <w:rFonts w:ascii="Times New Roman" w:eastAsia="Times New Roman" w:hAnsi="Times New Roman" w:cs="Times New Roman"/>
          <w:b/>
          <w:bCs/>
          <w:sz w:val="24"/>
          <w:szCs w:val="24"/>
          <w:lang w:eastAsia="lv-LV"/>
        </w:rPr>
        <w:t xml:space="preserve"> </w:t>
      </w:r>
      <w:r w:rsidR="000841F9">
        <w:rPr>
          <w:rFonts w:ascii="Times New Roman" w:eastAsia="Times New Roman" w:hAnsi="Times New Roman" w:cs="Times New Roman"/>
          <w:b/>
          <w:bCs/>
          <w:sz w:val="24"/>
          <w:szCs w:val="24"/>
          <w:lang w:eastAsia="lv-LV"/>
        </w:rPr>
        <w:t xml:space="preserve">pieņemts lēmumu </w:t>
      </w:r>
      <w:bookmarkStart w:id="0" w:name="_GoBack"/>
      <w:bookmarkEnd w:id="0"/>
      <w:r>
        <w:rPr>
          <w:rFonts w:ascii="Times New Roman" w:eastAsia="Times New Roman" w:hAnsi="Times New Roman" w:cs="Times New Roman"/>
          <w:b/>
          <w:bCs/>
          <w:sz w:val="24"/>
          <w:szCs w:val="24"/>
          <w:lang w:eastAsia="lv-LV"/>
        </w:rPr>
        <w:t xml:space="preserve">izbeigt iepirkumu bez rezultāta. </w:t>
      </w:r>
      <w:r w:rsidRPr="00685584">
        <w:rPr>
          <w:rFonts w:ascii="Times New Roman" w:eastAsia="Times New Roman" w:hAnsi="Times New Roman" w:cs="Times New Roman"/>
          <w:b/>
          <w:bCs/>
          <w:sz w:val="24"/>
          <w:szCs w:val="24"/>
          <w:lang w:eastAsia="lv-LV"/>
        </w:rPr>
        <w:t xml:space="preserve"> </w:t>
      </w:r>
    </w:p>
    <w:p w:rsidR="00011D7D" w:rsidRPr="00685584" w:rsidRDefault="00011D7D" w:rsidP="00011D7D">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85584">
        <w:rPr>
          <w:rFonts w:ascii="Times New Roman" w:eastAsia="Times New Roman" w:hAnsi="Times New Roman" w:cs="Times New Roman"/>
          <w:b/>
          <w:sz w:val="24"/>
          <w:szCs w:val="24"/>
          <w:lang w:eastAsia="lv-LV"/>
        </w:rPr>
        <w:t>Lēmuma pieņemšanas datums:</w:t>
      </w:r>
      <w:r w:rsidRPr="006855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15.12</w:t>
      </w:r>
      <w:r>
        <w:rPr>
          <w:rFonts w:ascii="Times New Roman" w:eastAsia="Times New Roman" w:hAnsi="Times New Roman" w:cs="Times New Roman"/>
          <w:sz w:val="24"/>
          <w:szCs w:val="24"/>
          <w:lang w:eastAsia="lv-LV"/>
        </w:rPr>
        <w:t>.</w:t>
      </w:r>
      <w:r w:rsidRPr="00685584">
        <w:rPr>
          <w:rFonts w:ascii="Times New Roman" w:eastAsia="Times New Roman" w:hAnsi="Times New Roman" w:cs="Times New Roman"/>
          <w:sz w:val="24"/>
          <w:szCs w:val="24"/>
          <w:lang w:eastAsia="lv-LV"/>
        </w:rPr>
        <w:t>2017.</w:t>
      </w:r>
    </w:p>
    <w:p w:rsidR="00011D7D" w:rsidRPr="00951D9C" w:rsidRDefault="00011D7D" w:rsidP="00011D7D">
      <w:pPr>
        <w:pStyle w:val="ListParagraph"/>
        <w:widowControl w:val="0"/>
        <w:numPr>
          <w:ilvl w:val="0"/>
          <w:numId w:val="2"/>
        </w:numPr>
        <w:shd w:val="clear" w:color="auto" w:fill="FFFFFF"/>
        <w:tabs>
          <w:tab w:val="clear" w:pos="720"/>
          <w:tab w:val="left" w:pos="264"/>
        </w:tabs>
        <w:spacing w:after="0" w:line="256" w:lineRule="exact"/>
        <w:ind w:left="284" w:right="20"/>
        <w:jc w:val="both"/>
        <w:rPr>
          <w:rFonts w:ascii="Times New Roman" w:eastAsia="Times New Roman" w:hAnsi="Times New Roman" w:cs="Times New Roman"/>
          <w:sz w:val="24"/>
          <w:szCs w:val="24"/>
        </w:rPr>
      </w:pPr>
      <w:r w:rsidRPr="00951D9C">
        <w:rPr>
          <w:rFonts w:ascii="Times New Roman" w:eastAsia="Times New Roman" w:hAnsi="Times New Roman" w:cs="Times New Roman"/>
          <w:b/>
          <w:bCs/>
          <w:sz w:val="24"/>
          <w:szCs w:val="24"/>
          <w:lang w:eastAsia="lv-LV"/>
        </w:rPr>
        <w:t>Lēmuma pārsūdzēšana:</w:t>
      </w:r>
      <w:r w:rsidRPr="00951D9C">
        <w:rPr>
          <w:rFonts w:ascii="Times New Roman" w:eastAsia="Times New Roman" w:hAnsi="Times New Roman" w:cs="Times New Roman"/>
          <w:bCs/>
          <w:sz w:val="24"/>
          <w:szCs w:val="24"/>
          <w:lang w:eastAsia="lv-LV"/>
        </w:rPr>
        <w:t xml:space="preserve"> 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Lēmuma pārsūdzēšana neaptur tā darbību.</w:t>
      </w:r>
    </w:p>
    <w:p w:rsidR="00011D7D" w:rsidRPr="00951D9C" w:rsidRDefault="00011D7D" w:rsidP="00011D7D">
      <w:pPr>
        <w:spacing w:after="0" w:line="240" w:lineRule="auto"/>
        <w:rPr>
          <w:rFonts w:ascii="Times New Roman" w:eastAsia="Cambria" w:hAnsi="Times New Roman" w:cs="Times New Roman"/>
          <w:sz w:val="24"/>
          <w:szCs w:val="24"/>
        </w:rPr>
      </w:pPr>
    </w:p>
    <w:tbl>
      <w:tblPr>
        <w:tblW w:w="9140" w:type="dxa"/>
        <w:tblLayout w:type="fixed"/>
        <w:tblLook w:val="01E0" w:firstRow="1" w:lastRow="1" w:firstColumn="1" w:lastColumn="1" w:noHBand="0" w:noVBand="0"/>
      </w:tblPr>
      <w:tblGrid>
        <w:gridCol w:w="4205"/>
        <w:gridCol w:w="1976"/>
        <w:gridCol w:w="2959"/>
      </w:tblGrid>
      <w:tr w:rsidR="00011D7D" w:rsidRPr="00951D9C" w:rsidTr="00FD2E0E">
        <w:tc>
          <w:tcPr>
            <w:tcW w:w="4205"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r w:rsidRPr="00951D9C">
              <w:rPr>
                <w:rFonts w:ascii="Times New Roman" w:eastAsia="Times New Roman" w:hAnsi="Times New Roman" w:cs="Times New Roman"/>
                <w:color w:val="000000" w:themeColor="text1"/>
                <w:sz w:val="24"/>
                <w:szCs w:val="24"/>
              </w:rPr>
              <w:t>Komisijas priekšsēdētājs:</w:t>
            </w:r>
          </w:p>
        </w:tc>
        <w:tc>
          <w:tcPr>
            <w:tcW w:w="1976"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011D7D" w:rsidRPr="00951D9C" w:rsidRDefault="00011D7D" w:rsidP="00FD2E0E">
            <w:pPr>
              <w:spacing w:after="0" w:line="240" w:lineRule="auto"/>
              <w:jc w:val="right"/>
              <w:rPr>
                <w:rFonts w:ascii="Times New Roman" w:eastAsia="Times New Roman" w:hAnsi="Times New Roman" w:cs="Times New Roman"/>
                <w:color w:val="000000" w:themeColor="text1"/>
                <w:sz w:val="24"/>
                <w:szCs w:val="24"/>
              </w:rPr>
            </w:pPr>
            <w:proofErr w:type="spellStart"/>
            <w:r w:rsidRPr="00951D9C">
              <w:rPr>
                <w:rFonts w:ascii="Times New Roman" w:eastAsia="Times New Roman" w:hAnsi="Times New Roman" w:cs="Times New Roman"/>
                <w:color w:val="000000" w:themeColor="text1"/>
                <w:sz w:val="24"/>
                <w:szCs w:val="24"/>
              </w:rPr>
              <w:t>I.Benga</w:t>
            </w:r>
            <w:proofErr w:type="spellEnd"/>
          </w:p>
        </w:tc>
      </w:tr>
      <w:tr w:rsidR="00011D7D" w:rsidRPr="00951D9C" w:rsidTr="00FD2E0E">
        <w:tc>
          <w:tcPr>
            <w:tcW w:w="4205"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1976"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011D7D" w:rsidRPr="00951D9C" w:rsidRDefault="00011D7D" w:rsidP="00FD2E0E">
            <w:pPr>
              <w:spacing w:after="0" w:line="240" w:lineRule="auto"/>
              <w:jc w:val="right"/>
              <w:rPr>
                <w:rFonts w:ascii="Times New Roman" w:eastAsia="Times New Roman" w:hAnsi="Times New Roman" w:cs="Times New Roman"/>
                <w:color w:val="000000" w:themeColor="text1"/>
                <w:sz w:val="24"/>
                <w:szCs w:val="24"/>
              </w:rPr>
            </w:pPr>
          </w:p>
        </w:tc>
      </w:tr>
      <w:tr w:rsidR="00011D7D" w:rsidRPr="00951D9C" w:rsidTr="00FD2E0E">
        <w:trPr>
          <w:trHeight w:val="1544"/>
        </w:trPr>
        <w:tc>
          <w:tcPr>
            <w:tcW w:w="4205"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r w:rsidRPr="00951D9C">
              <w:rPr>
                <w:rFonts w:ascii="Times New Roman" w:eastAsia="Times New Roman" w:hAnsi="Times New Roman" w:cs="Times New Roman"/>
                <w:color w:val="000000" w:themeColor="text1"/>
                <w:sz w:val="24"/>
                <w:szCs w:val="24"/>
              </w:rPr>
              <w:t>Komisijas locekļi:</w:t>
            </w:r>
          </w:p>
        </w:tc>
        <w:tc>
          <w:tcPr>
            <w:tcW w:w="1976"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011D7D" w:rsidRPr="00951D9C" w:rsidRDefault="00011D7D" w:rsidP="00FD2E0E">
            <w:pPr>
              <w:spacing w:after="0" w:line="240" w:lineRule="auto"/>
              <w:jc w:val="right"/>
              <w:rPr>
                <w:rFonts w:ascii="Times New Roman" w:eastAsia="Times New Roman" w:hAnsi="Times New Roman" w:cs="Times New Roman"/>
                <w:color w:val="000000" w:themeColor="text1"/>
                <w:sz w:val="24"/>
                <w:szCs w:val="24"/>
              </w:rPr>
            </w:pP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r w:rsidRPr="00951D9C">
              <w:rPr>
                <w:rFonts w:ascii="Times New Roman" w:eastAsia="Times New Roman" w:hAnsi="Times New Roman" w:cs="Times New Roman"/>
                <w:color w:val="000000"/>
                <w:sz w:val="24"/>
                <w:szCs w:val="24"/>
                <w:lang w:eastAsia="lv-LV"/>
              </w:rPr>
              <w:t>K. Ķēniņš</w:t>
            </w: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p>
          <w:p w:rsidR="00011D7D" w:rsidRDefault="00011D7D" w:rsidP="00FD2E0E">
            <w:pPr>
              <w:spacing w:after="0" w:line="240" w:lineRule="auto"/>
              <w:jc w:val="right"/>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G.Lazdāns</w:t>
            </w:r>
            <w:proofErr w:type="spellEnd"/>
          </w:p>
          <w:p w:rsidR="00011D7D" w:rsidRDefault="00011D7D" w:rsidP="00FD2E0E">
            <w:pPr>
              <w:spacing w:after="0" w:line="240" w:lineRule="auto"/>
              <w:jc w:val="right"/>
              <w:rPr>
                <w:rFonts w:ascii="Times New Roman" w:eastAsia="Times New Roman" w:hAnsi="Times New Roman" w:cs="Times New Roman"/>
                <w:color w:val="000000"/>
                <w:sz w:val="24"/>
                <w:szCs w:val="24"/>
                <w:lang w:eastAsia="lv-LV"/>
              </w:rPr>
            </w:pPr>
          </w:p>
          <w:p w:rsidR="00011D7D" w:rsidRDefault="00011D7D" w:rsidP="00011D7D">
            <w:pPr>
              <w:spacing w:after="0" w:line="240" w:lineRule="auto"/>
              <w:rPr>
                <w:rFonts w:ascii="Times New Roman" w:eastAsia="Times New Roman" w:hAnsi="Times New Roman" w:cs="Times New Roman"/>
                <w:color w:val="000000"/>
                <w:sz w:val="24"/>
                <w:szCs w:val="24"/>
                <w:lang w:eastAsia="lv-LV"/>
              </w:rPr>
            </w:pP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I.Pujāts</w:t>
            </w:r>
            <w:proofErr w:type="spellEnd"/>
            <w:r>
              <w:rPr>
                <w:rFonts w:ascii="Times New Roman" w:eastAsia="Times New Roman" w:hAnsi="Times New Roman" w:cs="Times New Roman"/>
                <w:color w:val="000000"/>
                <w:sz w:val="24"/>
                <w:szCs w:val="24"/>
                <w:lang w:eastAsia="lv-LV"/>
              </w:rPr>
              <w:t xml:space="preserve"> </w:t>
            </w:r>
          </w:p>
          <w:p w:rsidR="00011D7D" w:rsidRPr="00951D9C" w:rsidRDefault="00011D7D" w:rsidP="00FD2E0E">
            <w:pPr>
              <w:spacing w:after="0" w:line="240" w:lineRule="auto"/>
              <w:rPr>
                <w:rFonts w:ascii="Times New Roman" w:eastAsia="Times New Roman" w:hAnsi="Times New Roman" w:cs="Times New Roman"/>
                <w:color w:val="000000" w:themeColor="text1"/>
                <w:sz w:val="24"/>
                <w:szCs w:val="24"/>
              </w:rPr>
            </w:pPr>
          </w:p>
        </w:tc>
      </w:tr>
    </w:tbl>
    <w:p w:rsidR="00011D7D" w:rsidRPr="00951D9C" w:rsidRDefault="00011D7D" w:rsidP="00011D7D">
      <w:pPr>
        <w:spacing w:after="0" w:line="240" w:lineRule="auto"/>
        <w:rPr>
          <w:rFonts w:ascii="Times New Roman" w:eastAsia="Cambria" w:hAnsi="Times New Roman" w:cs="Times New Roman"/>
          <w:sz w:val="24"/>
          <w:szCs w:val="24"/>
        </w:rPr>
      </w:pPr>
    </w:p>
    <w:p w:rsidR="00E10F16" w:rsidRDefault="00E10F16"/>
    <w:sectPr w:rsidR="00E10F16" w:rsidSect="000212F8">
      <w:pgSz w:w="11906" w:h="16838"/>
      <w:pgMar w:top="567"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46BAD54C"/>
    <w:lvl w:ilvl="0" w:tplc="7A78B6B0">
      <w:start w:val="1"/>
      <w:numFmt w:val="decimal"/>
      <w:lvlText w:val="%1."/>
      <w:lvlJc w:val="left"/>
      <w:pPr>
        <w:tabs>
          <w:tab w:val="num" w:pos="720"/>
        </w:tabs>
        <w:ind w:left="720" w:hanging="360"/>
      </w:pPr>
      <w:rPr>
        <w:rFonts w:hint="default"/>
        <w:b w:val="0"/>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7D"/>
    <w:rsid w:val="00011D7D"/>
    <w:rsid w:val="000841F9"/>
    <w:rsid w:val="00694EEE"/>
    <w:rsid w:val="00E10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6EF4F66B"/>
  <w15:chartTrackingRefBased/>
  <w15:docId w15:val="{EC153155-1EF0-4403-B054-BBEA51E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011D7D"/>
    <w:pPr>
      <w:ind w:left="720"/>
      <w:contextualSpacing/>
    </w:pPr>
  </w:style>
  <w:style w:type="character" w:customStyle="1" w:styleId="ListParagraphChar">
    <w:name w:val="List Paragraph Char"/>
    <w:aliases w:val="Virsraksti Char"/>
    <w:link w:val="ListParagraph"/>
    <w:uiPriority w:val="34"/>
    <w:locked/>
    <w:rsid w:val="0001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1226</Words>
  <Characters>700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dcterms:created xsi:type="dcterms:W3CDTF">2017-12-18T12:31:00Z</dcterms:created>
  <dcterms:modified xsi:type="dcterms:W3CDTF">2017-12-18T12:42:00Z</dcterms:modified>
</cp:coreProperties>
</file>