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24" w:rsidRPr="00203B88" w:rsidRDefault="008B4E24" w:rsidP="008B4E24">
      <w:pPr>
        <w:jc w:val="right"/>
        <w:rPr>
          <w:rFonts w:eastAsia="Cambria"/>
          <w:kern w:val="56"/>
        </w:rPr>
      </w:pPr>
      <w:r w:rsidRPr="00203B88">
        <w:rPr>
          <w:rFonts w:eastAsia="Cambria"/>
          <w:kern w:val="56"/>
        </w:rPr>
        <w:t>Pielikums Nr.2</w:t>
      </w:r>
      <w:r w:rsidR="00B33480">
        <w:rPr>
          <w:rFonts w:eastAsia="Cambria"/>
          <w:kern w:val="56"/>
        </w:rPr>
        <w:t>.3</w:t>
      </w:r>
      <w:r>
        <w:rPr>
          <w:rFonts w:eastAsia="Cambria"/>
          <w:kern w:val="56"/>
        </w:rPr>
        <w:t>.</w:t>
      </w:r>
    </w:p>
    <w:p w:rsidR="008B4E24" w:rsidRPr="00203B88" w:rsidRDefault="008B4E24" w:rsidP="008B4E24">
      <w:pPr>
        <w:jc w:val="right"/>
        <w:rPr>
          <w:rFonts w:eastAsia="Cambria"/>
          <w:vanish/>
          <w:kern w:val="56"/>
        </w:rPr>
      </w:pPr>
      <w:r w:rsidRPr="00203B88">
        <w:rPr>
          <w:rFonts w:eastAsia="Cambria"/>
          <w:kern w:val="56"/>
        </w:rPr>
        <w:t xml:space="preserve"> </w:t>
      </w:r>
    </w:p>
    <w:p w:rsidR="008B4E24" w:rsidRPr="00203B88" w:rsidRDefault="008B4E24" w:rsidP="008B4E24">
      <w:pPr>
        <w:jc w:val="right"/>
        <w:rPr>
          <w:rFonts w:eastAsia="Cambria"/>
          <w:kern w:val="56"/>
        </w:rPr>
      </w:pPr>
      <w:r w:rsidRPr="00203B88">
        <w:rPr>
          <w:rFonts w:eastAsia="Cambria"/>
          <w:kern w:val="56"/>
        </w:rPr>
        <w:t xml:space="preserve"> Nolikumam ID Nr. RTU-2017/</w:t>
      </w:r>
      <w:r>
        <w:rPr>
          <w:rFonts w:eastAsia="Cambria"/>
          <w:kern w:val="56"/>
        </w:rPr>
        <w:t>112</w:t>
      </w:r>
    </w:p>
    <w:p w:rsidR="008B4E24" w:rsidRPr="00203B88" w:rsidRDefault="008B4E24" w:rsidP="008B4E24">
      <w:pPr>
        <w:tabs>
          <w:tab w:val="center" w:pos="4819"/>
        </w:tabs>
        <w:rPr>
          <w:rFonts w:eastAsia="Cambria"/>
          <w:kern w:val="56"/>
        </w:rPr>
      </w:pPr>
    </w:p>
    <w:p w:rsidR="008B4E24" w:rsidRPr="00203B88" w:rsidRDefault="008B4E24" w:rsidP="008B4E24">
      <w:pPr>
        <w:jc w:val="center"/>
        <w:rPr>
          <w:rFonts w:eastAsia="Cambria"/>
          <w:b/>
          <w:kern w:val="56"/>
        </w:rPr>
      </w:pPr>
      <w:r w:rsidRPr="00203B88">
        <w:rPr>
          <w:rFonts w:eastAsia="Cambria"/>
          <w:b/>
          <w:kern w:val="56"/>
        </w:rPr>
        <w:t>TEHNISKĀ SPE</w:t>
      </w:r>
      <w:r>
        <w:rPr>
          <w:rFonts w:eastAsia="Cambria"/>
          <w:b/>
          <w:kern w:val="56"/>
        </w:rPr>
        <w:t>CIFIKĀCIJA – TEHNISKAIS</w:t>
      </w:r>
      <w:r w:rsidRPr="00203B88">
        <w:rPr>
          <w:rFonts w:eastAsia="Cambria"/>
          <w:b/>
          <w:kern w:val="56"/>
        </w:rPr>
        <w:t xml:space="preserve"> PIEDĀVĀJUMS</w:t>
      </w:r>
    </w:p>
    <w:p w:rsidR="008B4E24" w:rsidRPr="00203B88" w:rsidRDefault="008B4E24" w:rsidP="008B4E24">
      <w:pPr>
        <w:jc w:val="center"/>
        <w:rPr>
          <w:rFonts w:eastAsia="Cambria"/>
          <w:bCs/>
          <w:kern w:val="56"/>
        </w:rPr>
      </w:pPr>
      <w:r w:rsidRPr="00203B88">
        <w:rPr>
          <w:rFonts w:eastAsia="Cambria"/>
          <w:bCs/>
          <w:kern w:val="56"/>
        </w:rPr>
        <w:t>(Pasūtītāja Tehniskās specifikācija, Pretendenta Tehniskais piedāvājums)</w:t>
      </w:r>
    </w:p>
    <w:p w:rsidR="008B4E24" w:rsidRDefault="008B4E24" w:rsidP="008B4E24">
      <w:pPr>
        <w:jc w:val="center"/>
        <w:rPr>
          <w:b/>
        </w:rPr>
      </w:pPr>
      <w:r>
        <w:rPr>
          <w:rFonts w:eastAsia="Cambria"/>
          <w:b/>
          <w:kern w:val="56"/>
        </w:rPr>
        <w:t xml:space="preserve">Atklātam konkursam </w:t>
      </w:r>
      <w:r w:rsidRPr="002E643A">
        <w:rPr>
          <w:b/>
        </w:rPr>
        <w:t xml:space="preserve"> </w:t>
      </w:r>
      <w:r w:rsidRPr="00126800">
        <w:rPr>
          <w:b/>
        </w:rPr>
        <w:t xml:space="preserve">“Laboratorijas ierīču, elektronikas komponenšu un mācību materiālu iegāde </w:t>
      </w:r>
    </w:p>
    <w:p w:rsidR="008B4E24" w:rsidRPr="002E643A" w:rsidRDefault="008B4E24" w:rsidP="008B4E24">
      <w:pPr>
        <w:jc w:val="center"/>
        <w:rPr>
          <w:b/>
        </w:rPr>
      </w:pPr>
      <w:r w:rsidRPr="00126800">
        <w:rPr>
          <w:b/>
        </w:rPr>
        <w:t>RTU Liepājas filiāles vajadzībām”</w:t>
      </w:r>
      <w:r>
        <w:rPr>
          <w:b/>
        </w:rPr>
        <w:t xml:space="preserve">, </w:t>
      </w:r>
      <w:r w:rsidRPr="00203B88">
        <w:rPr>
          <w:rFonts w:eastAsia="Cambria"/>
          <w:b/>
          <w:kern w:val="56"/>
        </w:rPr>
        <w:t>ID Nr.: RTU </w:t>
      </w:r>
      <w:r w:rsidRPr="00203B88">
        <w:rPr>
          <w:rFonts w:eastAsia="Cambria"/>
          <w:b/>
          <w:kern w:val="56"/>
        </w:rPr>
        <w:noBreakHyphen/>
        <w:t> 2017/</w:t>
      </w:r>
      <w:r>
        <w:rPr>
          <w:rFonts w:eastAsia="Cambria"/>
          <w:b/>
          <w:kern w:val="56"/>
        </w:rPr>
        <w:t>112</w:t>
      </w:r>
    </w:p>
    <w:p w:rsidR="008B4E24" w:rsidRPr="00C310D9" w:rsidRDefault="007B6952" w:rsidP="008B4E24">
      <w:pPr>
        <w:tabs>
          <w:tab w:val="center" w:pos="4819"/>
        </w:tabs>
        <w:jc w:val="center"/>
        <w:rPr>
          <w:rFonts w:eastAsia="Cambria"/>
          <w:b/>
          <w:i/>
          <w:kern w:val="56"/>
        </w:rPr>
      </w:pPr>
      <w:r w:rsidRPr="00C310D9">
        <w:rPr>
          <w:rFonts w:eastAsia="Cambria"/>
          <w:b/>
          <w:i/>
          <w:kern w:val="56"/>
        </w:rPr>
        <w:t>Iepirkuma daļā Nr.3</w:t>
      </w:r>
      <w:r w:rsidR="008B4E24" w:rsidRPr="00C310D9">
        <w:rPr>
          <w:rFonts w:eastAsia="Cambria"/>
          <w:b/>
          <w:i/>
          <w:kern w:val="56"/>
        </w:rPr>
        <w:t xml:space="preserve"> “</w:t>
      </w:r>
      <w:r w:rsidRPr="00C310D9">
        <w:rPr>
          <w:rFonts w:eastAsia="Cambria"/>
          <w:b/>
          <w:i/>
          <w:kern w:val="56"/>
        </w:rPr>
        <w:t>Dažādas laboratorijas ierīces un komponentes</w:t>
      </w:r>
      <w:r w:rsidR="008B4E24" w:rsidRPr="00C310D9">
        <w:rPr>
          <w:rFonts w:eastAsia="Cambria"/>
          <w:b/>
          <w:i/>
          <w:kern w:val="56"/>
        </w:rPr>
        <w:t>”</w:t>
      </w:r>
    </w:p>
    <w:p w:rsidR="008B4E24" w:rsidRDefault="008B4E24" w:rsidP="008B4E24">
      <w:pPr>
        <w:ind w:left="360"/>
        <w:jc w:val="center"/>
        <w:rPr>
          <w:b/>
          <w:sz w:val="22"/>
          <w:szCs w:val="22"/>
        </w:rPr>
      </w:pPr>
    </w:p>
    <w:p w:rsidR="008B4E24" w:rsidRPr="0096130F" w:rsidRDefault="008B4E24" w:rsidP="008B4E24">
      <w:pPr>
        <w:ind w:left="360"/>
        <w:jc w:val="center"/>
        <w:rPr>
          <w:b/>
          <w:sz w:val="22"/>
          <w:szCs w:val="22"/>
        </w:rPr>
      </w:pPr>
      <w:r w:rsidRPr="0096130F">
        <w:rPr>
          <w:b/>
          <w:sz w:val="22"/>
          <w:szCs w:val="22"/>
        </w:rPr>
        <w:t>Vispārīgās prasības</w:t>
      </w:r>
    </w:p>
    <w:p w:rsidR="008B4E24" w:rsidRPr="0096130F" w:rsidRDefault="008B4E24" w:rsidP="008B4E24">
      <w:pPr>
        <w:jc w:val="both"/>
        <w:rPr>
          <w:i/>
          <w:sz w:val="22"/>
          <w:szCs w:val="22"/>
        </w:rPr>
      </w:pPr>
    </w:p>
    <w:p w:rsidR="008B4E24" w:rsidRPr="0096130F" w:rsidRDefault="008B4E24" w:rsidP="008B4E24">
      <w:pPr>
        <w:ind w:left="360" w:hanging="360"/>
        <w:jc w:val="both"/>
        <w:rPr>
          <w:i/>
          <w:sz w:val="22"/>
          <w:szCs w:val="22"/>
        </w:rPr>
      </w:pPr>
      <w:r w:rsidRPr="0096130F">
        <w:rPr>
          <w:i/>
          <w:sz w:val="22"/>
          <w:szCs w:val="22"/>
        </w:rPr>
        <w:t>1.    Preču piegādi un izkraušanu pretendents veic Pasūtītāja telpās Pasūtītāja atbildīgās personas klātbūtnē.</w:t>
      </w:r>
    </w:p>
    <w:p w:rsidR="008B4E24" w:rsidRPr="0096130F" w:rsidRDefault="008B4E24" w:rsidP="008B4E24">
      <w:pPr>
        <w:ind w:left="360" w:hanging="360"/>
        <w:jc w:val="both"/>
        <w:rPr>
          <w:i/>
          <w:sz w:val="22"/>
          <w:szCs w:val="22"/>
        </w:rPr>
      </w:pPr>
      <w:r w:rsidRPr="0096130F">
        <w:rPr>
          <w:i/>
          <w:sz w:val="22"/>
          <w:szCs w:val="22"/>
        </w:rPr>
        <w:t>2.    Preču iepakojumam jābūt tādam, lai tiktu maksimāli samazināta iespēja sabojāt Preci tās transportēšanas laikā.</w:t>
      </w:r>
    </w:p>
    <w:p w:rsidR="008B4E24" w:rsidRPr="0096130F" w:rsidRDefault="008B4E24" w:rsidP="008B4E24">
      <w:pPr>
        <w:ind w:left="360" w:hanging="360"/>
        <w:jc w:val="both"/>
        <w:rPr>
          <w:i/>
          <w:sz w:val="22"/>
          <w:szCs w:val="22"/>
        </w:rPr>
      </w:pPr>
      <w:r w:rsidRPr="0096130F">
        <w:rPr>
          <w:i/>
          <w:sz w:val="22"/>
          <w:szCs w:val="22"/>
        </w:rPr>
        <w:t>3.</w:t>
      </w:r>
      <w:r w:rsidRPr="0096130F">
        <w:rPr>
          <w:i/>
          <w:sz w:val="22"/>
          <w:szCs w:val="22"/>
        </w:rPr>
        <w:tab/>
        <w:t>Precēm jābūt jaunām un iepriekš nelietotām. Piegādātājam jāgarantē, ka Preču piegādes brīdī Pasūtītājam tiks iesniegta dokumentācija, kas satur produkta raksturojumu, īpašības, lietošanas un uzglabāšanas noteikumus un pielietojumu.</w:t>
      </w:r>
    </w:p>
    <w:p w:rsidR="008B4E24" w:rsidRPr="0096130F" w:rsidRDefault="008B4E24" w:rsidP="008B4E24">
      <w:pPr>
        <w:ind w:left="360" w:hanging="360"/>
        <w:jc w:val="both"/>
        <w:rPr>
          <w:b/>
          <w:i/>
          <w:sz w:val="22"/>
          <w:szCs w:val="22"/>
        </w:rPr>
      </w:pPr>
      <w:r w:rsidRPr="0096130F">
        <w:rPr>
          <w:b/>
          <w:i/>
          <w:sz w:val="22"/>
          <w:szCs w:val="22"/>
        </w:rPr>
        <w:t>4.</w:t>
      </w:r>
      <w:r w:rsidRPr="0096130F">
        <w:rPr>
          <w:i/>
          <w:sz w:val="22"/>
          <w:szCs w:val="22"/>
        </w:rPr>
        <w:t xml:space="preserve">   </w:t>
      </w:r>
      <w:r w:rsidRPr="0096130F">
        <w:rPr>
          <w:b/>
          <w:i/>
          <w:sz w:val="22"/>
          <w:szCs w:val="22"/>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rsidR="008B4E24" w:rsidRPr="0096130F" w:rsidRDefault="008B4E24" w:rsidP="008B4E24">
      <w:pPr>
        <w:ind w:left="360" w:hanging="360"/>
        <w:jc w:val="both"/>
        <w:rPr>
          <w:i/>
          <w:sz w:val="22"/>
          <w:szCs w:val="22"/>
        </w:rPr>
      </w:pPr>
      <w:r w:rsidRPr="0096130F">
        <w:rPr>
          <w:i/>
          <w:sz w:val="22"/>
          <w:szCs w:val="22"/>
        </w:rPr>
        <w:t>5.</w:t>
      </w:r>
      <w:r w:rsidRPr="0096130F">
        <w:rPr>
          <w:i/>
          <w:sz w:val="22"/>
          <w:szCs w:val="22"/>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rsidR="008B4E24" w:rsidRDefault="008B4E24"/>
    <w:p w:rsidR="008B4E24" w:rsidRDefault="008B4E24"/>
    <w:p w:rsidR="008B4E24" w:rsidRDefault="008B4E24"/>
    <w:tbl>
      <w:tblPr>
        <w:tblStyle w:val="TableGrid"/>
        <w:tblW w:w="14879" w:type="dxa"/>
        <w:tblLook w:val="04A0" w:firstRow="1" w:lastRow="0" w:firstColumn="1" w:lastColumn="0" w:noHBand="0" w:noVBand="1"/>
      </w:tblPr>
      <w:tblGrid>
        <w:gridCol w:w="837"/>
        <w:gridCol w:w="2135"/>
        <w:gridCol w:w="6095"/>
        <w:gridCol w:w="5812"/>
      </w:tblGrid>
      <w:tr w:rsidR="008B4E24" w:rsidTr="006916C9">
        <w:tc>
          <w:tcPr>
            <w:tcW w:w="837" w:type="dxa"/>
          </w:tcPr>
          <w:p w:rsidR="008B4E24" w:rsidRDefault="008B4E24">
            <w:pPr>
              <w:rPr>
                <w:b/>
              </w:rPr>
            </w:pPr>
          </w:p>
          <w:p w:rsidR="008B4E24" w:rsidRDefault="008B4E24">
            <w:pPr>
              <w:rPr>
                <w:b/>
              </w:rPr>
            </w:pPr>
          </w:p>
          <w:p w:rsidR="008B4E24" w:rsidRDefault="008B4E24">
            <w:pPr>
              <w:rPr>
                <w:b/>
              </w:rPr>
            </w:pPr>
          </w:p>
          <w:p w:rsidR="008B4E24" w:rsidRDefault="008B4E24">
            <w:pPr>
              <w:rPr>
                <w:b/>
              </w:rPr>
            </w:pPr>
          </w:p>
          <w:p w:rsidR="008B4E24" w:rsidRPr="008B4E24" w:rsidRDefault="008B4E24">
            <w:pPr>
              <w:rPr>
                <w:b/>
              </w:rPr>
            </w:pPr>
            <w:proofErr w:type="spellStart"/>
            <w:r w:rsidRPr="008B4E24">
              <w:rPr>
                <w:b/>
              </w:rPr>
              <w:t>N.p.k</w:t>
            </w:r>
            <w:proofErr w:type="spellEnd"/>
            <w:r w:rsidRPr="008B4E24">
              <w:rPr>
                <w:b/>
              </w:rPr>
              <w:t xml:space="preserve">. </w:t>
            </w:r>
          </w:p>
        </w:tc>
        <w:tc>
          <w:tcPr>
            <w:tcW w:w="213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Nosaukums</w:t>
            </w:r>
          </w:p>
        </w:tc>
        <w:tc>
          <w:tcPr>
            <w:tcW w:w="609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Tehniskā specifikācija</w:t>
            </w:r>
          </w:p>
        </w:tc>
        <w:tc>
          <w:tcPr>
            <w:tcW w:w="5812" w:type="dxa"/>
          </w:tcPr>
          <w:p w:rsidR="008B4E24" w:rsidRDefault="008B4E24" w:rsidP="008B4E24">
            <w:pPr>
              <w:jc w:val="center"/>
              <w:rPr>
                <w:b/>
                <w:color w:val="000000"/>
              </w:rPr>
            </w:pPr>
            <w:r w:rsidRPr="00E03AD6">
              <w:rPr>
                <w:b/>
                <w:color w:val="000000"/>
              </w:rPr>
              <w:t xml:space="preserve">Tehniskais piedāvājums </w:t>
            </w:r>
          </w:p>
          <w:p w:rsidR="008B4E24" w:rsidRPr="00F3695A" w:rsidRDefault="008B4E24" w:rsidP="008B4E24">
            <w:pPr>
              <w:rPr>
                <w:i/>
                <w:sz w:val="22"/>
              </w:rPr>
            </w:pPr>
            <w:r w:rsidRPr="00F3695A">
              <w:rPr>
                <w:i/>
                <w:sz w:val="22"/>
              </w:rPr>
              <w:t>Pretendenta aizpildīta aile, kurā būs rakstīts tikai "atbilst", tiks uzskatīta par nepietiekošu informāciju.</w:t>
            </w:r>
          </w:p>
          <w:p w:rsidR="008B4E24" w:rsidRPr="00F3695A" w:rsidRDefault="008B4E24" w:rsidP="008B4E24">
            <w:pPr>
              <w:rPr>
                <w:i/>
                <w:sz w:val="22"/>
              </w:rPr>
            </w:pPr>
            <w:r w:rsidRPr="00F3695A">
              <w:rPr>
                <w:i/>
                <w:sz w:val="22"/>
              </w:rPr>
              <w:t>Jānorāda:</w:t>
            </w:r>
          </w:p>
          <w:p w:rsidR="008B4E24" w:rsidRPr="00F3695A" w:rsidRDefault="008B4E24" w:rsidP="008B4E24">
            <w:pPr>
              <w:rPr>
                <w:i/>
                <w:sz w:val="22"/>
              </w:rPr>
            </w:pPr>
            <w:r>
              <w:rPr>
                <w:i/>
                <w:sz w:val="22"/>
              </w:rPr>
              <w:t xml:space="preserve">- </w:t>
            </w:r>
            <w:r w:rsidRPr="00F3695A">
              <w:rPr>
                <w:i/>
                <w:sz w:val="22"/>
              </w:rPr>
              <w:t>katras piedāvātās preces tehnisko un darbības parametru aprakstus, atbilstoši tehniskajai specifikācijai;</w:t>
            </w:r>
          </w:p>
          <w:p w:rsidR="008B4E24" w:rsidRPr="00F3695A" w:rsidRDefault="008B4E24" w:rsidP="008B4E24">
            <w:pPr>
              <w:rPr>
                <w:i/>
                <w:sz w:val="22"/>
              </w:rPr>
            </w:pPr>
            <w:r>
              <w:rPr>
                <w:i/>
                <w:sz w:val="22"/>
              </w:rPr>
              <w:t xml:space="preserve">- </w:t>
            </w:r>
            <w:r w:rsidRPr="00F3695A">
              <w:rPr>
                <w:i/>
                <w:sz w:val="22"/>
              </w:rPr>
              <w:t>preču garantijas termiņš;</w:t>
            </w:r>
          </w:p>
          <w:p w:rsidR="008B4E24" w:rsidRDefault="008B4E24" w:rsidP="008B4E24">
            <w:r>
              <w:rPr>
                <w:i/>
                <w:sz w:val="22"/>
              </w:rPr>
              <w:t xml:space="preserve">- </w:t>
            </w:r>
            <w:r w:rsidRPr="00F3695A">
              <w:rPr>
                <w:i/>
                <w:sz w:val="22"/>
              </w:rPr>
              <w:t>papildus informācija – ražotāja avots, kur var pārliecināties par piedāvātā modeļa ražotāja tehniskajiem parametriem.</w:t>
            </w:r>
          </w:p>
        </w:tc>
      </w:tr>
      <w:tr w:rsidR="00EB2CBC" w:rsidTr="006916C9">
        <w:tc>
          <w:tcPr>
            <w:tcW w:w="837" w:type="dxa"/>
          </w:tcPr>
          <w:p w:rsidR="00EB2CBC" w:rsidRDefault="007B6952" w:rsidP="00EB2CBC">
            <w:r>
              <w:t>1.</w:t>
            </w:r>
            <w:r w:rsidR="00EB2CBC">
              <w:t xml:space="preserve"> </w:t>
            </w:r>
          </w:p>
        </w:tc>
        <w:tc>
          <w:tcPr>
            <w:tcW w:w="2135" w:type="dxa"/>
          </w:tcPr>
          <w:p w:rsidR="00EB2CBC" w:rsidRPr="007B6952" w:rsidRDefault="007B6952" w:rsidP="00EB2CBC">
            <w:pPr>
              <w:rPr>
                <w:b/>
              </w:rPr>
            </w:pPr>
            <w:r w:rsidRPr="007B6952">
              <w:rPr>
                <w:b/>
              </w:rPr>
              <w:t>Rotācijas momenta sensors – 1 gab.</w:t>
            </w:r>
          </w:p>
        </w:tc>
        <w:tc>
          <w:tcPr>
            <w:tcW w:w="6095" w:type="dxa"/>
            <w:vAlign w:val="center"/>
          </w:tcPr>
          <w:p w:rsidR="007B6952" w:rsidRPr="00F01227" w:rsidRDefault="007B6952" w:rsidP="007B6952">
            <w:pPr>
              <w:pStyle w:val="ListParagraph"/>
              <w:numPr>
                <w:ilvl w:val="0"/>
                <w:numId w:val="1"/>
              </w:numPr>
              <w:spacing w:line="256" w:lineRule="auto"/>
              <w:ind w:left="493"/>
              <w:rPr>
                <w:i/>
                <w:lang w:val="lv-LV"/>
              </w:rPr>
            </w:pPr>
            <w:r w:rsidRPr="00F01227">
              <w:rPr>
                <w:i/>
                <w:lang w:val="lv-LV"/>
              </w:rPr>
              <w:t>Vārpstai jābūt apaļai (kā elektromotoram) ar diametru robežās no 8 līdz 12 mm.</w:t>
            </w:r>
          </w:p>
          <w:p w:rsidR="007B6952" w:rsidRPr="00F01227" w:rsidRDefault="007B6952" w:rsidP="007B6952">
            <w:pPr>
              <w:pStyle w:val="ListParagraph"/>
              <w:numPr>
                <w:ilvl w:val="0"/>
                <w:numId w:val="1"/>
              </w:numPr>
              <w:spacing w:line="256" w:lineRule="auto"/>
              <w:ind w:left="493"/>
              <w:rPr>
                <w:i/>
                <w:lang w:val="lv-LV"/>
              </w:rPr>
            </w:pPr>
            <w:r w:rsidRPr="00F01227">
              <w:rPr>
                <w:i/>
                <w:lang w:val="lv-LV"/>
              </w:rPr>
              <w:t>Vārpstai jābūt caurejošai (tas tā ir visiem sensoriem, kuri saucas par rotācijas momenta sensoriem)</w:t>
            </w:r>
            <w:r w:rsidRPr="00F01227">
              <w:rPr>
                <w:lang w:val="lv-LV"/>
              </w:rPr>
              <w:t>;</w:t>
            </w:r>
          </w:p>
          <w:p w:rsidR="007B6952" w:rsidRPr="00F01227" w:rsidRDefault="007B6952" w:rsidP="007B6952">
            <w:pPr>
              <w:pStyle w:val="ListParagraph"/>
              <w:numPr>
                <w:ilvl w:val="0"/>
                <w:numId w:val="1"/>
              </w:numPr>
              <w:spacing w:line="256" w:lineRule="auto"/>
              <w:ind w:left="493"/>
              <w:rPr>
                <w:i/>
                <w:lang w:val="lv-LV"/>
              </w:rPr>
            </w:pPr>
            <w:r w:rsidRPr="00F01227">
              <w:rPr>
                <w:i/>
                <w:lang w:val="lv-LV"/>
              </w:rPr>
              <w:t>Mērāmā momenta diapazons robežās no ±</w:t>
            </w:r>
            <w:r w:rsidRPr="00F01227">
              <w:rPr>
                <w:lang w:val="lv-LV"/>
              </w:rPr>
              <w:t>10Nm līdz</w:t>
            </w:r>
            <w:r w:rsidRPr="00F01227">
              <w:rPr>
                <w:i/>
                <w:lang w:val="lv-LV"/>
              </w:rPr>
              <w:t xml:space="preserve"> ±</w:t>
            </w:r>
            <w:r w:rsidRPr="00F01227">
              <w:rPr>
                <w:lang w:val="lv-LV"/>
              </w:rPr>
              <w:t>30Nm;</w:t>
            </w:r>
          </w:p>
          <w:p w:rsidR="007B6952" w:rsidRPr="00F01227" w:rsidRDefault="007B6952" w:rsidP="007B6952">
            <w:pPr>
              <w:pStyle w:val="ListParagraph"/>
              <w:numPr>
                <w:ilvl w:val="0"/>
                <w:numId w:val="1"/>
              </w:numPr>
              <w:spacing w:line="256" w:lineRule="auto"/>
              <w:ind w:left="493"/>
              <w:rPr>
                <w:i/>
                <w:lang w:val="lv-LV"/>
              </w:rPr>
            </w:pPr>
            <w:r w:rsidRPr="00F01227">
              <w:rPr>
                <w:i/>
                <w:lang w:val="lv-LV"/>
              </w:rPr>
              <w:lastRenderedPageBreak/>
              <w:t xml:space="preserve">Jāiztur rotācijas ātrums ne mazāk kā 3000 </w:t>
            </w:r>
            <w:proofErr w:type="spellStart"/>
            <w:r w:rsidRPr="00F01227">
              <w:rPr>
                <w:i/>
                <w:lang w:val="lv-LV"/>
              </w:rPr>
              <w:t>apgr</w:t>
            </w:r>
            <w:proofErr w:type="spellEnd"/>
            <w:r w:rsidRPr="00F01227">
              <w:rPr>
                <w:i/>
                <w:lang w:val="lv-LV"/>
              </w:rPr>
              <w:t>/min;</w:t>
            </w:r>
          </w:p>
          <w:p w:rsidR="007B6952" w:rsidRPr="00F01227" w:rsidRDefault="007B6952" w:rsidP="007B6952">
            <w:pPr>
              <w:pStyle w:val="ListParagraph"/>
              <w:numPr>
                <w:ilvl w:val="0"/>
                <w:numId w:val="1"/>
              </w:numPr>
              <w:spacing w:line="256" w:lineRule="auto"/>
              <w:ind w:left="493"/>
              <w:rPr>
                <w:i/>
                <w:lang w:val="lv-LV"/>
              </w:rPr>
            </w:pPr>
            <w:r w:rsidRPr="00F01227">
              <w:rPr>
                <w:i/>
                <w:lang w:val="lv-LV"/>
              </w:rPr>
              <w:t xml:space="preserve">Signāla pārvadei no sensora vārpstas uz korpusu jābūt izmantojot </w:t>
            </w:r>
            <w:proofErr w:type="spellStart"/>
            <w:r w:rsidRPr="00F01227">
              <w:rPr>
                <w:i/>
                <w:lang w:val="lv-LV"/>
              </w:rPr>
              <w:t>bezkontaktu</w:t>
            </w:r>
            <w:proofErr w:type="spellEnd"/>
            <w:r w:rsidRPr="00F01227">
              <w:rPr>
                <w:i/>
                <w:lang w:val="lv-LV"/>
              </w:rPr>
              <w:t xml:space="preserve"> metodi;</w:t>
            </w:r>
          </w:p>
          <w:p w:rsidR="007B6952" w:rsidRPr="007B6952" w:rsidRDefault="007B6952" w:rsidP="007B6952">
            <w:pPr>
              <w:pStyle w:val="ListParagraph"/>
              <w:numPr>
                <w:ilvl w:val="0"/>
                <w:numId w:val="1"/>
              </w:numPr>
              <w:spacing w:line="256" w:lineRule="auto"/>
              <w:ind w:left="493"/>
              <w:rPr>
                <w:i/>
                <w:lang w:val="lv-LV"/>
              </w:rPr>
            </w:pPr>
            <w:r w:rsidRPr="00F01227">
              <w:rPr>
                <w:i/>
                <w:lang w:val="lv-LV"/>
              </w:rPr>
              <w:t xml:space="preserve">Vēlams </w:t>
            </w:r>
            <w:r>
              <w:rPr>
                <w:i/>
                <w:lang w:val="lv-LV"/>
              </w:rPr>
              <w:t>ar iebūvētu pastiprinātāju.</w:t>
            </w:r>
          </w:p>
        </w:tc>
        <w:tc>
          <w:tcPr>
            <w:tcW w:w="5812" w:type="dxa"/>
          </w:tcPr>
          <w:p w:rsidR="00EB2CBC" w:rsidRDefault="00EB2CBC" w:rsidP="00EB2CBC"/>
        </w:tc>
      </w:tr>
      <w:tr w:rsidR="007B6952" w:rsidTr="006916C9">
        <w:tc>
          <w:tcPr>
            <w:tcW w:w="837" w:type="dxa"/>
          </w:tcPr>
          <w:p w:rsidR="007B6952" w:rsidRDefault="007B6952" w:rsidP="00EB2CBC">
            <w:r>
              <w:t>2.</w:t>
            </w:r>
          </w:p>
        </w:tc>
        <w:tc>
          <w:tcPr>
            <w:tcW w:w="2135" w:type="dxa"/>
          </w:tcPr>
          <w:p w:rsidR="007B6952" w:rsidRPr="007B6952" w:rsidRDefault="007B6952" w:rsidP="00EB2CBC">
            <w:pPr>
              <w:rPr>
                <w:b/>
              </w:rPr>
            </w:pPr>
            <w:r w:rsidRPr="007B6952">
              <w:rPr>
                <w:b/>
              </w:rPr>
              <w:t xml:space="preserve">Daudz-asu kustības vadības sistēma (CNC kontrolieris) – 1 gab. </w:t>
            </w:r>
          </w:p>
        </w:tc>
        <w:tc>
          <w:tcPr>
            <w:tcW w:w="6095" w:type="dxa"/>
            <w:vAlign w:val="center"/>
          </w:tcPr>
          <w:p w:rsidR="007B6952" w:rsidRDefault="007B6952" w:rsidP="007B6952">
            <w:pPr>
              <w:pStyle w:val="ListParagraph"/>
              <w:numPr>
                <w:ilvl w:val="0"/>
                <w:numId w:val="1"/>
              </w:numPr>
              <w:spacing w:line="256" w:lineRule="auto"/>
              <w:ind w:left="493"/>
              <w:rPr>
                <w:i/>
                <w:lang w:val="lv-LV"/>
              </w:rPr>
            </w:pPr>
            <w:r>
              <w:rPr>
                <w:i/>
                <w:lang w:val="lv-LV"/>
              </w:rPr>
              <w:t xml:space="preserve">Jābūt integrētai kustības vadības sistēmai uz </w:t>
            </w:r>
            <w:proofErr w:type="spellStart"/>
            <w:r>
              <w:rPr>
                <w:i/>
                <w:lang w:val="lv-LV"/>
              </w:rPr>
              <w:t>mikrokontrollera</w:t>
            </w:r>
            <w:proofErr w:type="spellEnd"/>
            <w:r>
              <w:rPr>
                <w:i/>
                <w:lang w:val="lv-LV"/>
              </w:rPr>
              <w:t xml:space="preserve"> Atmel ATxmega192 bāzes;</w:t>
            </w:r>
          </w:p>
          <w:p w:rsidR="007B6952" w:rsidRDefault="007B6952" w:rsidP="007B6952">
            <w:pPr>
              <w:pStyle w:val="ListParagraph"/>
              <w:numPr>
                <w:ilvl w:val="0"/>
                <w:numId w:val="1"/>
              </w:numPr>
              <w:spacing w:line="256" w:lineRule="auto"/>
              <w:ind w:left="493"/>
              <w:rPr>
                <w:i/>
                <w:lang w:val="lv-LV"/>
              </w:rPr>
            </w:pPr>
            <w:r>
              <w:rPr>
                <w:i/>
                <w:lang w:val="lv-LV"/>
              </w:rPr>
              <w:t>Jābūt 4 soļu dzinēju draiveriem, kas var nodrošināt vismaz 2,5A strāvu (balstīti uz mikroshēmas DRV8818);</w:t>
            </w:r>
          </w:p>
          <w:p w:rsidR="007B6952" w:rsidRDefault="007B6952" w:rsidP="007B6952">
            <w:pPr>
              <w:pStyle w:val="ListParagraph"/>
              <w:numPr>
                <w:ilvl w:val="0"/>
                <w:numId w:val="1"/>
              </w:numPr>
              <w:spacing w:line="256" w:lineRule="auto"/>
              <w:ind w:left="493"/>
              <w:rPr>
                <w:i/>
                <w:lang w:val="lv-LV"/>
              </w:rPr>
            </w:pPr>
            <w:r>
              <w:rPr>
                <w:i/>
                <w:lang w:val="lv-LV"/>
              </w:rPr>
              <w:t>Jābūt USB portam, caur kuru uzņem G-kodu;</w:t>
            </w:r>
          </w:p>
          <w:p w:rsidR="007B6952" w:rsidRDefault="007B6952" w:rsidP="007B6952">
            <w:pPr>
              <w:pStyle w:val="ListParagraph"/>
              <w:numPr>
                <w:ilvl w:val="0"/>
                <w:numId w:val="1"/>
              </w:numPr>
              <w:spacing w:line="256" w:lineRule="auto"/>
              <w:ind w:left="493"/>
              <w:rPr>
                <w:i/>
                <w:lang w:val="lv-LV"/>
              </w:rPr>
            </w:pPr>
            <w:r>
              <w:rPr>
                <w:i/>
                <w:lang w:val="lv-LV"/>
              </w:rPr>
              <w:t>Jābūt savietojamam ar programmatūru “</w:t>
            </w:r>
            <w:proofErr w:type="spellStart"/>
            <w:r>
              <w:rPr>
                <w:i/>
                <w:lang w:val="lv-LV"/>
              </w:rPr>
              <w:t>Chilipeppr</w:t>
            </w:r>
            <w:proofErr w:type="spellEnd"/>
            <w:r>
              <w:rPr>
                <w:i/>
                <w:lang w:val="lv-LV"/>
              </w:rPr>
              <w:t>”.</w:t>
            </w:r>
          </w:p>
          <w:p w:rsidR="007B6952" w:rsidRPr="00F01227" w:rsidRDefault="007B6952" w:rsidP="007B6952">
            <w:pPr>
              <w:pStyle w:val="ListParagraph"/>
              <w:spacing w:line="256" w:lineRule="auto"/>
              <w:ind w:left="493"/>
              <w:rPr>
                <w:i/>
                <w:lang w:val="lv-LV"/>
              </w:rPr>
            </w:pPr>
          </w:p>
        </w:tc>
        <w:tc>
          <w:tcPr>
            <w:tcW w:w="5812" w:type="dxa"/>
          </w:tcPr>
          <w:p w:rsidR="007B6952" w:rsidRDefault="007B6952" w:rsidP="00EB2CBC"/>
        </w:tc>
      </w:tr>
      <w:tr w:rsidR="007B6952" w:rsidTr="006916C9">
        <w:tc>
          <w:tcPr>
            <w:tcW w:w="837" w:type="dxa"/>
          </w:tcPr>
          <w:p w:rsidR="007B6952" w:rsidRDefault="007B6952" w:rsidP="00EB2CBC">
            <w:r>
              <w:t>3.</w:t>
            </w:r>
          </w:p>
        </w:tc>
        <w:tc>
          <w:tcPr>
            <w:tcW w:w="2135" w:type="dxa"/>
          </w:tcPr>
          <w:p w:rsidR="007B6952" w:rsidRDefault="007B6952" w:rsidP="00EB2CBC">
            <w:r>
              <w:rPr>
                <w:b/>
              </w:rPr>
              <w:t>S</w:t>
            </w:r>
            <w:r w:rsidRPr="00641D32">
              <w:rPr>
                <w:b/>
              </w:rPr>
              <w:t xml:space="preserve">oļu dzinēju komplekts (3 </w:t>
            </w:r>
            <w:r>
              <w:rPr>
                <w:b/>
              </w:rPr>
              <w:t>g</w:t>
            </w:r>
            <w:r w:rsidRPr="00641D32">
              <w:rPr>
                <w:b/>
              </w:rPr>
              <w:t>ab.) ar standartizmēru NEMA23</w:t>
            </w:r>
            <w:r>
              <w:rPr>
                <w:b/>
              </w:rPr>
              <w:t xml:space="preserve"> – 1 gab. </w:t>
            </w:r>
          </w:p>
        </w:tc>
        <w:tc>
          <w:tcPr>
            <w:tcW w:w="6095" w:type="dxa"/>
            <w:vAlign w:val="center"/>
          </w:tcPr>
          <w:p w:rsidR="007B6952" w:rsidRPr="00FD2F33" w:rsidRDefault="007B6952" w:rsidP="007B6952">
            <w:pPr>
              <w:pStyle w:val="ListParagraph"/>
              <w:numPr>
                <w:ilvl w:val="0"/>
                <w:numId w:val="1"/>
              </w:numPr>
              <w:ind w:left="493"/>
              <w:rPr>
                <w:i/>
                <w:lang w:val="lv-LV"/>
              </w:rPr>
            </w:pPr>
            <w:r w:rsidRPr="00FD2F33">
              <w:rPr>
                <w:i/>
                <w:lang w:val="lv-LV"/>
              </w:rPr>
              <w:t>Komplektā jābūt 3 vai 4 soļu dzinējiem;</w:t>
            </w:r>
          </w:p>
          <w:p w:rsidR="007B6952" w:rsidRDefault="007B6952" w:rsidP="007B6952">
            <w:pPr>
              <w:pStyle w:val="ListParagraph"/>
              <w:numPr>
                <w:ilvl w:val="0"/>
                <w:numId w:val="1"/>
              </w:numPr>
              <w:ind w:left="493"/>
              <w:rPr>
                <w:i/>
                <w:lang w:val="lv-LV"/>
              </w:rPr>
            </w:pPr>
            <w:r>
              <w:rPr>
                <w:i/>
                <w:lang w:val="lv-LV"/>
              </w:rPr>
              <w:t>Dzinējiem jābūt ar standartizmēru NEMA23;</w:t>
            </w:r>
          </w:p>
          <w:p w:rsidR="007B6952" w:rsidRDefault="007B6952" w:rsidP="007B6952">
            <w:pPr>
              <w:pStyle w:val="ListParagraph"/>
              <w:numPr>
                <w:ilvl w:val="0"/>
                <w:numId w:val="1"/>
              </w:numPr>
              <w:ind w:left="493"/>
              <w:rPr>
                <w:i/>
                <w:lang w:val="lv-LV"/>
              </w:rPr>
            </w:pPr>
            <w:r>
              <w:rPr>
                <w:i/>
                <w:lang w:val="lv-LV"/>
              </w:rPr>
              <w:t>Tinumu virknes slēgumā (ja tāds ir pieejams) vai vispār patērējamā strāva nedrīkst pārsniegt 2,5A.</w:t>
            </w:r>
          </w:p>
          <w:p w:rsidR="007B6952" w:rsidRPr="007B6952" w:rsidRDefault="007B6952" w:rsidP="007B6952">
            <w:pPr>
              <w:spacing w:line="256" w:lineRule="auto"/>
              <w:rPr>
                <w:i/>
              </w:rPr>
            </w:pPr>
          </w:p>
        </w:tc>
        <w:tc>
          <w:tcPr>
            <w:tcW w:w="5812" w:type="dxa"/>
          </w:tcPr>
          <w:p w:rsidR="007B6952" w:rsidRDefault="007B6952" w:rsidP="00EB2CBC"/>
        </w:tc>
      </w:tr>
      <w:tr w:rsidR="007B6952" w:rsidTr="006916C9">
        <w:tc>
          <w:tcPr>
            <w:tcW w:w="837" w:type="dxa"/>
          </w:tcPr>
          <w:p w:rsidR="007B6952" w:rsidRDefault="007B6952" w:rsidP="00EB2CBC">
            <w:r>
              <w:t>4.</w:t>
            </w:r>
          </w:p>
        </w:tc>
        <w:tc>
          <w:tcPr>
            <w:tcW w:w="2135" w:type="dxa"/>
          </w:tcPr>
          <w:p w:rsidR="007B6952" w:rsidRDefault="007B6952" w:rsidP="007B6952">
            <w:pPr>
              <w:spacing w:line="256" w:lineRule="auto"/>
              <w:rPr>
                <w:rFonts w:eastAsia="Cambria"/>
                <w:b/>
                <w:bCs/>
                <w:kern w:val="56"/>
                <w:sz w:val="22"/>
                <w:szCs w:val="22"/>
                <w:lang w:eastAsia="en-US"/>
              </w:rPr>
            </w:pPr>
            <w:proofErr w:type="spellStart"/>
            <w:r>
              <w:rPr>
                <w:rFonts w:eastAsia="Cambria"/>
                <w:b/>
                <w:bCs/>
                <w:kern w:val="56"/>
                <w:sz w:val="22"/>
                <w:szCs w:val="22"/>
                <w:lang w:eastAsia="en-US"/>
              </w:rPr>
              <w:t>Tekstolīta</w:t>
            </w:r>
            <w:proofErr w:type="spellEnd"/>
            <w:r>
              <w:rPr>
                <w:rFonts w:eastAsia="Cambria"/>
                <w:b/>
                <w:bCs/>
                <w:kern w:val="56"/>
                <w:sz w:val="22"/>
                <w:szCs w:val="22"/>
                <w:lang w:eastAsia="en-US"/>
              </w:rPr>
              <w:t xml:space="preserve"> </w:t>
            </w:r>
            <w:proofErr w:type="spellStart"/>
            <w:r>
              <w:rPr>
                <w:rFonts w:eastAsia="Cambria"/>
                <w:b/>
                <w:bCs/>
                <w:kern w:val="56"/>
                <w:sz w:val="22"/>
                <w:szCs w:val="22"/>
                <w:lang w:eastAsia="en-US"/>
              </w:rPr>
              <w:t>prototipēšanas</w:t>
            </w:r>
            <w:proofErr w:type="spellEnd"/>
            <w:r>
              <w:rPr>
                <w:rFonts w:eastAsia="Cambria"/>
                <w:b/>
                <w:bCs/>
                <w:kern w:val="56"/>
                <w:sz w:val="22"/>
                <w:szCs w:val="22"/>
                <w:lang w:eastAsia="en-US"/>
              </w:rPr>
              <w:t xml:space="preserve"> plate -  16 gab. </w:t>
            </w:r>
          </w:p>
          <w:p w:rsidR="007B6952" w:rsidRDefault="007B6952" w:rsidP="00EB2CBC">
            <w:pPr>
              <w:rPr>
                <w:b/>
              </w:rPr>
            </w:pPr>
          </w:p>
        </w:tc>
        <w:tc>
          <w:tcPr>
            <w:tcW w:w="6095" w:type="dxa"/>
            <w:vAlign w:val="center"/>
          </w:tcPr>
          <w:p w:rsidR="007B6952" w:rsidRDefault="007B6952" w:rsidP="007B6952">
            <w:pPr>
              <w:pStyle w:val="ListParagraph"/>
              <w:numPr>
                <w:ilvl w:val="0"/>
                <w:numId w:val="1"/>
              </w:numPr>
              <w:ind w:left="493"/>
              <w:rPr>
                <w:i/>
                <w:lang w:val="lv-LV"/>
              </w:rPr>
            </w:pPr>
            <w:r>
              <w:rPr>
                <w:i/>
                <w:lang w:val="lv-LV"/>
              </w:rPr>
              <w:t xml:space="preserve">Pamatnes materiālam jābūt </w:t>
            </w:r>
            <w:proofErr w:type="spellStart"/>
            <w:r>
              <w:rPr>
                <w:i/>
                <w:lang w:val="lv-LV"/>
              </w:rPr>
              <w:t>stiklašķiedras</w:t>
            </w:r>
            <w:proofErr w:type="spellEnd"/>
            <w:r>
              <w:rPr>
                <w:i/>
                <w:lang w:val="lv-LV"/>
              </w:rPr>
              <w:t xml:space="preserve"> </w:t>
            </w:r>
            <w:proofErr w:type="spellStart"/>
            <w:r>
              <w:rPr>
                <w:i/>
                <w:lang w:val="lv-LV"/>
              </w:rPr>
              <w:t>epoksīdam</w:t>
            </w:r>
            <w:proofErr w:type="spellEnd"/>
            <w:r>
              <w:rPr>
                <w:i/>
                <w:lang w:val="lv-LV"/>
              </w:rPr>
              <w:t xml:space="preserve"> FR4;</w:t>
            </w:r>
          </w:p>
          <w:p w:rsidR="007B6952" w:rsidRDefault="007B6952" w:rsidP="007B6952">
            <w:pPr>
              <w:pStyle w:val="ListParagraph"/>
              <w:numPr>
                <w:ilvl w:val="0"/>
                <w:numId w:val="1"/>
              </w:numPr>
              <w:ind w:left="493"/>
              <w:rPr>
                <w:i/>
                <w:lang w:val="lv-LV"/>
              </w:rPr>
            </w:pPr>
            <w:r>
              <w:rPr>
                <w:i/>
                <w:lang w:val="lv-LV"/>
              </w:rPr>
              <w:t>Folijai jābūt no vara pārklātai ar alvu vai alvas sakausējumu;</w:t>
            </w:r>
          </w:p>
          <w:p w:rsidR="007B6952" w:rsidRDefault="007B6952" w:rsidP="007B6952">
            <w:pPr>
              <w:pStyle w:val="ListParagraph"/>
              <w:numPr>
                <w:ilvl w:val="0"/>
                <w:numId w:val="1"/>
              </w:numPr>
              <w:ind w:left="493"/>
              <w:rPr>
                <w:i/>
                <w:lang w:val="lv-LV"/>
              </w:rPr>
            </w:pPr>
            <w:r>
              <w:rPr>
                <w:i/>
                <w:lang w:val="lv-LV"/>
              </w:rPr>
              <w:t>Folijas zīmējumam jābūt “EUROCARD” stilā (katram urbumam izolēts folijas riņķītis);</w:t>
            </w:r>
          </w:p>
          <w:p w:rsidR="007B6952" w:rsidRPr="00FD2F33" w:rsidRDefault="007B6952" w:rsidP="007B6952">
            <w:pPr>
              <w:pStyle w:val="ListParagraph"/>
              <w:numPr>
                <w:ilvl w:val="0"/>
                <w:numId w:val="1"/>
              </w:numPr>
              <w:ind w:left="493"/>
              <w:rPr>
                <w:i/>
                <w:lang w:val="lv-LV"/>
              </w:rPr>
            </w:pPr>
            <w:r>
              <w:rPr>
                <w:i/>
                <w:lang w:val="lv-LV"/>
              </w:rPr>
              <w:t>Urbumu diametri robežās no 0,9 mm līdz 1,1mm.</w:t>
            </w:r>
          </w:p>
          <w:p w:rsidR="007B6952" w:rsidRPr="00FD2F33" w:rsidRDefault="007B6952" w:rsidP="007B6952">
            <w:pPr>
              <w:pStyle w:val="ListParagraph"/>
              <w:ind w:left="493"/>
              <w:rPr>
                <w:i/>
                <w:lang w:val="lv-LV"/>
              </w:rPr>
            </w:pPr>
          </w:p>
        </w:tc>
        <w:tc>
          <w:tcPr>
            <w:tcW w:w="5812" w:type="dxa"/>
          </w:tcPr>
          <w:p w:rsidR="007B6952" w:rsidRDefault="007B6952" w:rsidP="00EB2CBC"/>
        </w:tc>
      </w:tr>
      <w:tr w:rsidR="007B6952" w:rsidTr="006916C9">
        <w:tc>
          <w:tcPr>
            <w:tcW w:w="837" w:type="dxa"/>
          </w:tcPr>
          <w:p w:rsidR="007B6952" w:rsidRDefault="007B6952" w:rsidP="00EB2CBC">
            <w:r>
              <w:t>5.</w:t>
            </w:r>
          </w:p>
        </w:tc>
        <w:tc>
          <w:tcPr>
            <w:tcW w:w="2135" w:type="dxa"/>
          </w:tcPr>
          <w:p w:rsidR="007B6952" w:rsidRDefault="00190316" w:rsidP="007B6952">
            <w:pPr>
              <w:spacing w:line="256" w:lineRule="auto"/>
              <w:rPr>
                <w:rFonts w:eastAsia="Cambria"/>
                <w:b/>
                <w:bCs/>
                <w:kern w:val="56"/>
                <w:sz w:val="22"/>
                <w:szCs w:val="22"/>
                <w:lang w:eastAsia="en-US"/>
              </w:rPr>
            </w:pPr>
            <w:r>
              <w:rPr>
                <w:rFonts w:eastAsia="Cambria"/>
                <w:b/>
                <w:bCs/>
                <w:kern w:val="56"/>
                <w:sz w:val="22"/>
                <w:szCs w:val="22"/>
                <w:lang w:eastAsia="en-US"/>
              </w:rPr>
              <w:t>Skrūvju terminālu bloks ielodējams platē 2polu – 50 gab.</w:t>
            </w:r>
          </w:p>
        </w:tc>
        <w:tc>
          <w:tcPr>
            <w:tcW w:w="6095" w:type="dxa"/>
            <w:vAlign w:val="center"/>
          </w:tcPr>
          <w:p w:rsidR="00190316" w:rsidRDefault="00190316" w:rsidP="00190316">
            <w:pPr>
              <w:pStyle w:val="ListParagraph"/>
              <w:numPr>
                <w:ilvl w:val="0"/>
                <w:numId w:val="1"/>
              </w:numPr>
              <w:ind w:left="493"/>
              <w:rPr>
                <w:i/>
                <w:lang w:val="lv-LV"/>
              </w:rPr>
            </w:pPr>
            <w:r>
              <w:rPr>
                <w:i/>
                <w:lang w:val="lv-LV"/>
              </w:rPr>
              <w:t>Attālums starp izvadu centriem 5,08 mm (200mil)</w:t>
            </w:r>
          </w:p>
          <w:p w:rsidR="007B6952" w:rsidRPr="00190316" w:rsidRDefault="007B6952" w:rsidP="00190316">
            <w:pPr>
              <w:ind w:left="133"/>
              <w:rPr>
                <w:i/>
              </w:rPr>
            </w:pPr>
          </w:p>
        </w:tc>
        <w:tc>
          <w:tcPr>
            <w:tcW w:w="5812" w:type="dxa"/>
          </w:tcPr>
          <w:p w:rsidR="007B6952" w:rsidRDefault="007B6952" w:rsidP="00EB2CBC"/>
        </w:tc>
      </w:tr>
      <w:tr w:rsidR="00190316" w:rsidTr="006916C9">
        <w:tc>
          <w:tcPr>
            <w:tcW w:w="837" w:type="dxa"/>
          </w:tcPr>
          <w:p w:rsidR="00190316" w:rsidRDefault="00190316" w:rsidP="00EB2CBC">
            <w:r>
              <w:t>6.</w:t>
            </w:r>
          </w:p>
        </w:tc>
        <w:tc>
          <w:tcPr>
            <w:tcW w:w="2135" w:type="dxa"/>
          </w:tcPr>
          <w:p w:rsidR="00190316" w:rsidRDefault="00190316" w:rsidP="00190316">
            <w:pPr>
              <w:spacing w:line="256" w:lineRule="auto"/>
              <w:rPr>
                <w:rFonts w:eastAsia="Cambria"/>
                <w:b/>
                <w:bCs/>
                <w:kern w:val="56"/>
                <w:sz w:val="22"/>
                <w:szCs w:val="22"/>
                <w:lang w:eastAsia="en-US"/>
              </w:rPr>
            </w:pPr>
            <w:r>
              <w:rPr>
                <w:rFonts w:eastAsia="Cambria"/>
                <w:b/>
                <w:bCs/>
                <w:kern w:val="56"/>
                <w:sz w:val="22"/>
                <w:szCs w:val="22"/>
                <w:lang w:eastAsia="en-US"/>
              </w:rPr>
              <w:t>Skrūvju terminālu bloks ielodējams platē 3polu – 25 gab.</w:t>
            </w:r>
          </w:p>
          <w:p w:rsidR="00190316" w:rsidRDefault="00190316" w:rsidP="007B6952">
            <w:pPr>
              <w:spacing w:line="256" w:lineRule="auto"/>
              <w:rPr>
                <w:rFonts w:eastAsia="Cambria"/>
                <w:b/>
                <w:bCs/>
                <w:kern w:val="56"/>
                <w:sz w:val="22"/>
                <w:szCs w:val="22"/>
                <w:lang w:eastAsia="en-US"/>
              </w:rPr>
            </w:pPr>
          </w:p>
        </w:tc>
        <w:tc>
          <w:tcPr>
            <w:tcW w:w="6095" w:type="dxa"/>
            <w:vAlign w:val="center"/>
          </w:tcPr>
          <w:p w:rsidR="00190316" w:rsidRDefault="00190316" w:rsidP="00190316">
            <w:pPr>
              <w:pStyle w:val="ListParagraph"/>
              <w:numPr>
                <w:ilvl w:val="0"/>
                <w:numId w:val="1"/>
              </w:numPr>
              <w:ind w:left="493"/>
              <w:rPr>
                <w:i/>
                <w:lang w:val="lv-LV"/>
              </w:rPr>
            </w:pPr>
            <w:r>
              <w:rPr>
                <w:i/>
                <w:lang w:val="lv-LV"/>
              </w:rPr>
              <w:t>Attālums starp izvadu centriem 5,08 mm (200mil)</w:t>
            </w:r>
          </w:p>
          <w:p w:rsidR="00190316" w:rsidRPr="00190316" w:rsidRDefault="00190316" w:rsidP="00190316">
            <w:pPr>
              <w:ind w:left="133"/>
              <w:rPr>
                <w:i/>
              </w:rPr>
            </w:pPr>
          </w:p>
        </w:tc>
        <w:tc>
          <w:tcPr>
            <w:tcW w:w="5812" w:type="dxa"/>
          </w:tcPr>
          <w:p w:rsidR="00190316" w:rsidRDefault="00190316" w:rsidP="00EB2CBC"/>
        </w:tc>
      </w:tr>
      <w:tr w:rsidR="00190316" w:rsidTr="006916C9">
        <w:tc>
          <w:tcPr>
            <w:tcW w:w="837" w:type="dxa"/>
          </w:tcPr>
          <w:p w:rsidR="00190316" w:rsidRDefault="00190316" w:rsidP="00EB2CBC">
            <w:r>
              <w:t xml:space="preserve">7. </w:t>
            </w:r>
          </w:p>
        </w:tc>
        <w:tc>
          <w:tcPr>
            <w:tcW w:w="2135" w:type="dxa"/>
          </w:tcPr>
          <w:p w:rsidR="00190316" w:rsidRDefault="00190316" w:rsidP="00190316">
            <w:pPr>
              <w:spacing w:line="256" w:lineRule="auto"/>
              <w:rPr>
                <w:rFonts w:eastAsia="Cambria"/>
                <w:b/>
                <w:bCs/>
                <w:kern w:val="56"/>
                <w:sz w:val="22"/>
                <w:szCs w:val="22"/>
                <w:lang w:eastAsia="en-US"/>
              </w:rPr>
            </w:pPr>
            <w:r>
              <w:rPr>
                <w:rFonts w:eastAsia="Cambria"/>
                <w:b/>
                <w:bCs/>
                <w:kern w:val="56"/>
                <w:sz w:val="22"/>
                <w:szCs w:val="22"/>
                <w:lang w:eastAsia="en-US"/>
              </w:rPr>
              <w:t xml:space="preserve">MOSFET tranzistors  - 25 gab. </w:t>
            </w:r>
          </w:p>
        </w:tc>
        <w:tc>
          <w:tcPr>
            <w:tcW w:w="6095" w:type="dxa"/>
            <w:vAlign w:val="center"/>
          </w:tcPr>
          <w:p w:rsidR="00190316" w:rsidRPr="00BD43D9" w:rsidRDefault="00190316" w:rsidP="00190316">
            <w:pPr>
              <w:pStyle w:val="ListParagraph"/>
              <w:numPr>
                <w:ilvl w:val="0"/>
                <w:numId w:val="1"/>
              </w:numPr>
              <w:ind w:left="493"/>
              <w:rPr>
                <w:i/>
                <w:color w:val="000000" w:themeColor="text1"/>
                <w:lang w:val="lv-LV"/>
              </w:rPr>
            </w:pPr>
            <w:r w:rsidRPr="000D3DEB">
              <w:rPr>
                <w:i/>
                <w:color w:val="000000" w:themeColor="text1"/>
                <w:lang w:val="lv-LV"/>
              </w:rPr>
              <w:t xml:space="preserve">Maks. </w:t>
            </w:r>
            <w:proofErr w:type="spellStart"/>
            <w:r w:rsidRPr="000D3DEB">
              <w:rPr>
                <w:i/>
                <w:color w:val="000000" w:themeColor="text1"/>
                <w:lang w:val="lv-LV"/>
              </w:rPr>
              <w:t>pieļ</w:t>
            </w:r>
            <w:proofErr w:type="spellEnd"/>
            <w:r w:rsidRPr="000D3DEB">
              <w:rPr>
                <w:i/>
                <w:color w:val="000000" w:themeColor="text1"/>
                <w:lang w:val="lv-LV"/>
              </w:rPr>
              <w:t xml:space="preserve">. spriegums starp izteci un noteci </w:t>
            </w:r>
            <w:r w:rsidRPr="00BD43D9">
              <w:rPr>
                <w:color w:val="000000" w:themeColor="text1"/>
                <w:lang w:val="lv-LV"/>
              </w:rPr>
              <w:t>(ne mazāk kā)</w:t>
            </w:r>
            <w:r w:rsidRPr="00BD43D9">
              <w:rPr>
                <w:i/>
                <w:color w:val="000000" w:themeColor="text1"/>
                <w:lang w:val="lv-LV"/>
              </w:rPr>
              <w:t xml:space="preserve"> V</w:t>
            </w:r>
            <w:r w:rsidRPr="00BD43D9">
              <w:rPr>
                <w:color w:val="000000" w:themeColor="text1"/>
                <w:vertAlign w:val="subscript"/>
                <w:lang w:val="lv-LV"/>
              </w:rPr>
              <w:t>DS</w:t>
            </w:r>
            <w:r w:rsidRPr="00BD43D9">
              <w:rPr>
                <w:i/>
                <w:color w:val="000000" w:themeColor="text1"/>
                <w:lang w:val="lv-LV"/>
              </w:rPr>
              <w:t xml:space="preserve"> = 900V;</w:t>
            </w:r>
          </w:p>
          <w:p w:rsidR="00190316" w:rsidRPr="00BD43D9" w:rsidRDefault="00190316" w:rsidP="00190316">
            <w:pPr>
              <w:pStyle w:val="ListParagraph"/>
              <w:numPr>
                <w:ilvl w:val="0"/>
                <w:numId w:val="1"/>
              </w:numPr>
              <w:ind w:left="493"/>
              <w:rPr>
                <w:i/>
                <w:color w:val="FF0000"/>
                <w:lang w:val="lv-LV"/>
              </w:rPr>
            </w:pPr>
            <w:r w:rsidRPr="00B649AB">
              <w:rPr>
                <w:i/>
                <w:lang w:val="lv-LV"/>
              </w:rPr>
              <w:t xml:space="preserve">Ieslēgta kanāla pretestība </w:t>
            </w:r>
            <w:proofErr w:type="spellStart"/>
            <w:r w:rsidRPr="00B649AB">
              <w:rPr>
                <w:i/>
                <w:lang w:val="lv-LV"/>
              </w:rPr>
              <w:t>R</w:t>
            </w:r>
            <w:r w:rsidRPr="00B649AB">
              <w:rPr>
                <w:vertAlign w:val="subscript"/>
                <w:lang w:val="lv-LV"/>
              </w:rPr>
              <w:t>DSon</w:t>
            </w:r>
            <w:proofErr w:type="spellEnd"/>
            <w:r w:rsidRPr="00B649AB">
              <w:rPr>
                <w:i/>
                <w:lang w:val="lv-LV"/>
              </w:rPr>
              <w:t>, ne vairāk kā 1</w:t>
            </w:r>
            <w:r w:rsidRPr="00BD43D9">
              <w:rPr>
                <w:lang w:val="lv-LV"/>
              </w:rPr>
              <w:t>Ω</w:t>
            </w:r>
            <w:r w:rsidRPr="00BD43D9">
              <w:rPr>
                <w:i/>
                <w:color w:val="000000" w:themeColor="text1"/>
                <w:lang w:val="lv-LV"/>
              </w:rPr>
              <w:t>;</w:t>
            </w:r>
          </w:p>
          <w:p w:rsidR="00190316" w:rsidRPr="00BD43D9" w:rsidRDefault="00190316" w:rsidP="00190316">
            <w:pPr>
              <w:pStyle w:val="ListParagraph"/>
              <w:numPr>
                <w:ilvl w:val="0"/>
                <w:numId w:val="1"/>
              </w:numPr>
              <w:ind w:left="493"/>
              <w:rPr>
                <w:i/>
                <w:color w:val="000000" w:themeColor="text1"/>
                <w:lang w:val="lv-LV"/>
              </w:rPr>
            </w:pPr>
            <w:r w:rsidRPr="00BD43D9">
              <w:rPr>
                <w:i/>
                <w:color w:val="000000" w:themeColor="text1"/>
                <w:lang w:val="lv-LV"/>
              </w:rPr>
              <w:lastRenderedPageBreak/>
              <w:t>Noteces nominālā strāva I</w:t>
            </w:r>
            <w:r w:rsidRPr="00BD43D9">
              <w:rPr>
                <w:color w:val="000000" w:themeColor="text1"/>
                <w:vertAlign w:val="subscript"/>
                <w:lang w:val="lv-LV"/>
              </w:rPr>
              <w:t>D</w:t>
            </w:r>
            <w:r w:rsidRPr="00BD43D9">
              <w:rPr>
                <w:i/>
                <w:color w:val="000000" w:themeColor="text1"/>
                <w:lang w:val="lv-LV"/>
              </w:rPr>
              <w:t>, ne mazāk kā 10</w:t>
            </w:r>
            <w:r w:rsidRPr="00BD43D9">
              <w:rPr>
                <w:color w:val="000000" w:themeColor="text1"/>
                <w:lang w:val="lv-LV"/>
              </w:rPr>
              <w:t>A</w:t>
            </w:r>
            <w:r w:rsidRPr="00BD43D9">
              <w:rPr>
                <w:i/>
                <w:color w:val="000000" w:themeColor="text1"/>
                <w:lang w:val="lv-LV"/>
              </w:rPr>
              <w:t>;</w:t>
            </w:r>
          </w:p>
          <w:p w:rsidR="00190316" w:rsidRDefault="00190316" w:rsidP="00190316">
            <w:pPr>
              <w:pStyle w:val="ListParagraph"/>
              <w:numPr>
                <w:ilvl w:val="0"/>
                <w:numId w:val="1"/>
              </w:numPr>
              <w:ind w:left="493"/>
              <w:rPr>
                <w:i/>
                <w:lang w:val="lv-LV"/>
              </w:rPr>
            </w:pPr>
            <w:r>
              <w:rPr>
                <w:i/>
                <w:lang w:val="lv-LV"/>
              </w:rPr>
              <w:t>Korpusa tips TO-247;</w:t>
            </w:r>
          </w:p>
          <w:p w:rsidR="00190316" w:rsidRDefault="00190316" w:rsidP="00190316">
            <w:pPr>
              <w:pStyle w:val="ListParagraph"/>
              <w:numPr>
                <w:ilvl w:val="0"/>
                <w:numId w:val="1"/>
              </w:numPr>
              <w:ind w:left="493"/>
              <w:rPr>
                <w:i/>
                <w:lang w:val="lv-LV"/>
              </w:rPr>
            </w:pPr>
            <w:r>
              <w:rPr>
                <w:i/>
                <w:lang w:val="lv-LV"/>
              </w:rPr>
              <w:t>Vēlams lai aizvara-</w:t>
            </w:r>
            <w:proofErr w:type="spellStart"/>
            <w:r>
              <w:rPr>
                <w:i/>
                <w:lang w:val="lv-LV"/>
              </w:rPr>
              <w:t>izteces</w:t>
            </w:r>
            <w:proofErr w:type="spellEnd"/>
            <w:r>
              <w:rPr>
                <w:i/>
                <w:lang w:val="lv-LV"/>
              </w:rPr>
              <w:t xml:space="preserve"> apgabals būtu aizsargāts ar iebūvētu </w:t>
            </w:r>
            <w:proofErr w:type="spellStart"/>
            <w:r>
              <w:rPr>
                <w:i/>
                <w:lang w:val="lv-LV"/>
              </w:rPr>
              <w:t>Zēnera</w:t>
            </w:r>
            <w:proofErr w:type="spellEnd"/>
            <w:r>
              <w:rPr>
                <w:i/>
                <w:lang w:val="lv-LV"/>
              </w:rPr>
              <w:t xml:space="preserve"> diodi.</w:t>
            </w:r>
          </w:p>
        </w:tc>
        <w:tc>
          <w:tcPr>
            <w:tcW w:w="5812" w:type="dxa"/>
          </w:tcPr>
          <w:p w:rsidR="00190316" w:rsidRDefault="00190316" w:rsidP="00EB2CBC"/>
        </w:tc>
      </w:tr>
    </w:tbl>
    <w:p w:rsidR="008B4E24" w:rsidRDefault="008B4E24">
      <w:bookmarkStart w:id="0" w:name="_GoBack"/>
      <w:bookmarkEnd w:id="0"/>
    </w:p>
    <w:sectPr w:rsidR="008B4E24" w:rsidSect="008B4E24">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DB0"/>
    <w:multiLevelType w:val="hybridMultilevel"/>
    <w:tmpl w:val="54B4018C"/>
    <w:lvl w:ilvl="0" w:tplc="9E965578">
      <w:start w:val="1"/>
      <w:numFmt w:val="bullet"/>
      <w:lvlText w:val=""/>
      <w:lvlJc w:val="left"/>
      <w:pPr>
        <w:ind w:left="720" w:hanging="360"/>
      </w:pPr>
      <w:rPr>
        <w:rFonts w:ascii="Symbol" w:hAnsi="Symbol"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4"/>
    <w:rsid w:val="00190316"/>
    <w:rsid w:val="003B6F5E"/>
    <w:rsid w:val="006916C9"/>
    <w:rsid w:val="007B6952"/>
    <w:rsid w:val="007B7DAE"/>
    <w:rsid w:val="008B4E24"/>
    <w:rsid w:val="009D780D"/>
    <w:rsid w:val="009E03C6"/>
    <w:rsid w:val="00B33480"/>
    <w:rsid w:val="00C310D9"/>
    <w:rsid w:val="00EB2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CA2B-6285-4FF4-99D7-2A08172A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4"/>
    <w:pPr>
      <w:ind w:left="720"/>
      <w:contextualSpacing/>
    </w:pPr>
    <w:rPr>
      <w:lang w:val="en-GB" w:eastAsia="en-US"/>
    </w:rPr>
  </w:style>
  <w:style w:type="paragraph" w:styleId="BalloonText">
    <w:name w:val="Balloon Text"/>
    <w:basedOn w:val="Normal"/>
    <w:link w:val="BalloonTextChar"/>
    <w:uiPriority w:val="99"/>
    <w:semiHidden/>
    <w:unhideWhenUsed/>
    <w:rsid w:val="008B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2533</Words>
  <Characters>1444</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2017-11-16T12:59:00Z</cp:lastPrinted>
  <dcterms:created xsi:type="dcterms:W3CDTF">2017-11-16T12:47:00Z</dcterms:created>
  <dcterms:modified xsi:type="dcterms:W3CDTF">2017-11-22T08:46:00Z</dcterms:modified>
</cp:coreProperties>
</file>