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24" w:rsidRPr="00203B88" w:rsidRDefault="008B4E24" w:rsidP="008B4E24">
      <w:pPr>
        <w:jc w:val="right"/>
        <w:rPr>
          <w:rFonts w:eastAsia="Cambria"/>
          <w:kern w:val="56"/>
        </w:rPr>
      </w:pPr>
      <w:r w:rsidRPr="00203B88">
        <w:rPr>
          <w:rFonts w:eastAsia="Cambria"/>
          <w:kern w:val="56"/>
        </w:rPr>
        <w:t>Pielikums Nr.2</w:t>
      </w:r>
      <w:r>
        <w:rPr>
          <w:rFonts w:eastAsia="Cambria"/>
          <w:kern w:val="56"/>
        </w:rPr>
        <w:t>.1.</w:t>
      </w:r>
    </w:p>
    <w:p w:rsidR="008B4E24" w:rsidRPr="00203B88" w:rsidRDefault="008B4E24" w:rsidP="008B4E24">
      <w:pPr>
        <w:jc w:val="right"/>
        <w:rPr>
          <w:rFonts w:eastAsia="Cambria"/>
          <w:vanish/>
          <w:kern w:val="56"/>
        </w:rPr>
      </w:pPr>
      <w:r w:rsidRPr="00203B88">
        <w:rPr>
          <w:rFonts w:eastAsia="Cambria"/>
          <w:kern w:val="56"/>
        </w:rPr>
        <w:t xml:space="preserve"> </w:t>
      </w:r>
    </w:p>
    <w:p w:rsidR="008B4E24" w:rsidRPr="00203B88" w:rsidRDefault="008B4E24" w:rsidP="008B4E24">
      <w:pPr>
        <w:jc w:val="right"/>
        <w:rPr>
          <w:rFonts w:eastAsia="Cambria"/>
          <w:kern w:val="56"/>
        </w:rPr>
      </w:pPr>
      <w:r w:rsidRPr="00203B88">
        <w:rPr>
          <w:rFonts w:eastAsia="Cambria"/>
          <w:kern w:val="56"/>
        </w:rPr>
        <w:t xml:space="preserve"> Nolikumam ID Nr. RTU-2017/</w:t>
      </w:r>
      <w:r>
        <w:rPr>
          <w:rFonts w:eastAsia="Cambria"/>
          <w:kern w:val="56"/>
        </w:rPr>
        <w:t>112</w:t>
      </w:r>
    </w:p>
    <w:p w:rsidR="008B4E24" w:rsidRPr="00203B88" w:rsidRDefault="008B4E24" w:rsidP="008B4E24">
      <w:pPr>
        <w:tabs>
          <w:tab w:val="center" w:pos="4819"/>
        </w:tabs>
        <w:rPr>
          <w:rFonts w:eastAsia="Cambria"/>
          <w:kern w:val="56"/>
        </w:rPr>
      </w:pPr>
    </w:p>
    <w:p w:rsidR="008B4E24" w:rsidRPr="00203B88" w:rsidRDefault="008B4E24" w:rsidP="008B4E24">
      <w:pPr>
        <w:jc w:val="center"/>
        <w:rPr>
          <w:rFonts w:eastAsia="Cambria"/>
          <w:b/>
          <w:kern w:val="56"/>
        </w:rPr>
      </w:pPr>
      <w:r w:rsidRPr="00203B88">
        <w:rPr>
          <w:rFonts w:eastAsia="Cambria"/>
          <w:b/>
          <w:kern w:val="56"/>
        </w:rPr>
        <w:t>TEHNISKĀ SPE</w:t>
      </w:r>
      <w:r>
        <w:rPr>
          <w:rFonts w:eastAsia="Cambria"/>
          <w:b/>
          <w:kern w:val="56"/>
        </w:rPr>
        <w:t>CIFIKĀCIJA – TEHNISKAIS</w:t>
      </w:r>
      <w:r w:rsidRPr="00203B88">
        <w:rPr>
          <w:rFonts w:eastAsia="Cambria"/>
          <w:b/>
          <w:kern w:val="56"/>
        </w:rPr>
        <w:t xml:space="preserve"> PIEDĀVĀJUMS</w:t>
      </w:r>
    </w:p>
    <w:p w:rsidR="008B4E24" w:rsidRPr="00203B88" w:rsidRDefault="008B4E24" w:rsidP="008B4E24">
      <w:pPr>
        <w:jc w:val="center"/>
        <w:rPr>
          <w:rFonts w:eastAsia="Cambria"/>
          <w:bCs/>
          <w:kern w:val="56"/>
        </w:rPr>
      </w:pPr>
      <w:r w:rsidRPr="00203B88">
        <w:rPr>
          <w:rFonts w:eastAsia="Cambria"/>
          <w:bCs/>
          <w:kern w:val="56"/>
        </w:rPr>
        <w:t>(Pasūtītāja Tehniskās specifikācija, Pretendenta Tehniskais piedāvājums)</w:t>
      </w:r>
    </w:p>
    <w:p w:rsidR="008B4E24" w:rsidRDefault="008B4E24" w:rsidP="008B4E24">
      <w:pPr>
        <w:jc w:val="center"/>
        <w:rPr>
          <w:b/>
        </w:rPr>
      </w:pPr>
      <w:bookmarkStart w:id="0" w:name="_GoBack"/>
      <w:r>
        <w:rPr>
          <w:rFonts w:eastAsia="Cambria"/>
          <w:b/>
          <w:kern w:val="56"/>
        </w:rPr>
        <w:t xml:space="preserve">Atklātam konkursam </w:t>
      </w:r>
      <w:r w:rsidRPr="002E643A">
        <w:rPr>
          <w:b/>
        </w:rPr>
        <w:t xml:space="preserve"> </w:t>
      </w:r>
      <w:r w:rsidRPr="00126800">
        <w:rPr>
          <w:b/>
        </w:rPr>
        <w:t xml:space="preserve">“Laboratorijas ierīču, elektronikas komponenšu un mācību materiālu iegāde </w:t>
      </w:r>
    </w:p>
    <w:p w:rsidR="008B4E24" w:rsidRPr="002E643A" w:rsidRDefault="008B4E24" w:rsidP="008B4E24">
      <w:pPr>
        <w:jc w:val="center"/>
        <w:rPr>
          <w:b/>
        </w:rPr>
      </w:pPr>
      <w:r w:rsidRPr="00126800">
        <w:rPr>
          <w:b/>
        </w:rPr>
        <w:t>RTU Liepājas filiāles vajadzībām”</w:t>
      </w:r>
      <w:r>
        <w:rPr>
          <w:b/>
        </w:rPr>
        <w:t xml:space="preserve">, </w:t>
      </w:r>
      <w:r w:rsidRPr="00203B88">
        <w:rPr>
          <w:rFonts w:eastAsia="Cambria"/>
          <w:b/>
          <w:kern w:val="56"/>
        </w:rPr>
        <w:t>ID Nr.: RTU </w:t>
      </w:r>
      <w:r w:rsidRPr="00203B88">
        <w:rPr>
          <w:rFonts w:eastAsia="Cambria"/>
          <w:b/>
          <w:kern w:val="56"/>
        </w:rPr>
        <w:noBreakHyphen/>
        <w:t> 2017/</w:t>
      </w:r>
      <w:r>
        <w:rPr>
          <w:rFonts w:eastAsia="Cambria"/>
          <w:b/>
          <w:kern w:val="56"/>
        </w:rPr>
        <w:t>112</w:t>
      </w:r>
    </w:p>
    <w:p w:rsidR="008B4E24" w:rsidRPr="00525DD4" w:rsidRDefault="008B4E24" w:rsidP="008B4E24">
      <w:pPr>
        <w:tabs>
          <w:tab w:val="center" w:pos="4819"/>
        </w:tabs>
        <w:jc w:val="center"/>
        <w:rPr>
          <w:rFonts w:eastAsia="Cambria"/>
          <w:b/>
          <w:i/>
          <w:kern w:val="56"/>
        </w:rPr>
      </w:pPr>
      <w:r w:rsidRPr="00525DD4">
        <w:rPr>
          <w:rFonts w:eastAsia="Cambria"/>
          <w:b/>
          <w:i/>
          <w:kern w:val="56"/>
        </w:rPr>
        <w:t>Iepirkuma daļā Nr.1 “</w:t>
      </w:r>
      <w:r w:rsidR="003B6F5E" w:rsidRPr="00525DD4">
        <w:rPr>
          <w:rFonts w:eastAsia="Cambria"/>
          <w:b/>
          <w:i/>
          <w:kern w:val="56"/>
        </w:rPr>
        <w:t>Tausts iekārtas vibrācijas mērīšanai</w:t>
      </w:r>
      <w:r w:rsidRPr="00525DD4">
        <w:rPr>
          <w:rFonts w:eastAsia="Cambria"/>
          <w:b/>
          <w:i/>
          <w:kern w:val="56"/>
        </w:rPr>
        <w:t>”</w:t>
      </w:r>
    </w:p>
    <w:bookmarkEnd w:id="0"/>
    <w:p w:rsidR="008B4E24" w:rsidRDefault="008B4E24" w:rsidP="008B4E24">
      <w:pPr>
        <w:ind w:left="360"/>
        <w:jc w:val="center"/>
        <w:rPr>
          <w:b/>
          <w:sz w:val="22"/>
          <w:szCs w:val="22"/>
        </w:rPr>
      </w:pPr>
    </w:p>
    <w:p w:rsidR="008B4E24" w:rsidRPr="0096130F" w:rsidRDefault="008B4E24" w:rsidP="008B4E24">
      <w:pPr>
        <w:ind w:left="360"/>
        <w:jc w:val="center"/>
        <w:rPr>
          <w:b/>
          <w:sz w:val="22"/>
          <w:szCs w:val="22"/>
        </w:rPr>
      </w:pPr>
      <w:r w:rsidRPr="0096130F">
        <w:rPr>
          <w:b/>
          <w:sz w:val="22"/>
          <w:szCs w:val="22"/>
        </w:rPr>
        <w:t>Vispārīgās prasības</w:t>
      </w:r>
    </w:p>
    <w:p w:rsidR="008B4E24" w:rsidRPr="0096130F" w:rsidRDefault="008B4E24" w:rsidP="008B4E24">
      <w:pPr>
        <w:jc w:val="both"/>
        <w:rPr>
          <w:i/>
          <w:sz w:val="22"/>
          <w:szCs w:val="22"/>
        </w:rPr>
      </w:pPr>
    </w:p>
    <w:p w:rsidR="008B4E24" w:rsidRPr="0096130F" w:rsidRDefault="008B4E24" w:rsidP="008B4E24">
      <w:pPr>
        <w:ind w:left="360" w:hanging="360"/>
        <w:jc w:val="both"/>
        <w:rPr>
          <w:i/>
          <w:sz w:val="22"/>
          <w:szCs w:val="22"/>
        </w:rPr>
      </w:pPr>
      <w:r w:rsidRPr="0096130F">
        <w:rPr>
          <w:i/>
          <w:sz w:val="22"/>
          <w:szCs w:val="22"/>
        </w:rPr>
        <w:t>1.    Preču piegādi un izkraušanu pretendents veic Pasūtītāja telpās Pasūtītāja atbildīgās personas klātbūtnē.</w:t>
      </w:r>
    </w:p>
    <w:p w:rsidR="008B4E24" w:rsidRPr="0096130F" w:rsidRDefault="008B4E24" w:rsidP="008B4E24">
      <w:pPr>
        <w:ind w:left="360" w:hanging="360"/>
        <w:jc w:val="both"/>
        <w:rPr>
          <w:i/>
          <w:sz w:val="22"/>
          <w:szCs w:val="22"/>
        </w:rPr>
      </w:pPr>
      <w:r w:rsidRPr="0096130F">
        <w:rPr>
          <w:i/>
          <w:sz w:val="22"/>
          <w:szCs w:val="22"/>
        </w:rPr>
        <w:t>2.    Preču iepakojumam jābūt tādam, lai tiktu maksimāli samazināta iespēja sabojāt Preci tās transportēšanas laikā.</w:t>
      </w:r>
    </w:p>
    <w:p w:rsidR="008B4E24" w:rsidRPr="0096130F" w:rsidRDefault="008B4E24" w:rsidP="008B4E24">
      <w:pPr>
        <w:ind w:left="360" w:hanging="360"/>
        <w:jc w:val="both"/>
        <w:rPr>
          <w:i/>
          <w:sz w:val="22"/>
          <w:szCs w:val="22"/>
        </w:rPr>
      </w:pPr>
      <w:r w:rsidRPr="0096130F">
        <w:rPr>
          <w:i/>
          <w:sz w:val="22"/>
          <w:szCs w:val="22"/>
        </w:rPr>
        <w:t>3.</w:t>
      </w:r>
      <w:r w:rsidRPr="0096130F">
        <w:rPr>
          <w:i/>
          <w:sz w:val="22"/>
          <w:szCs w:val="22"/>
        </w:rPr>
        <w:tab/>
        <w:t>Precēm jābūt jaunām un iepriekš nelietotām. Piegādātājam jāgarantē, ka Preču piegādes brīdī Pasūtītājam tiks iesniegta dokumentācija, kas satur produkta raksturojumu, īpašības, lietošanas un uzglabāšanas noteikumus un pielietojumu.</w:t>
      </w:r>
    </w:p>
    <w:p w:rsidR="008B4E24" w:rsidRPr="0096130F" w:rsidRDefault="008B4E24" w:rsidP="008B4E24">
      <w:pPr>
        <w:ind w:left="360" w:hanging="360"/>
        <w:jc w:val="both"/>
        <w:rPr>
          <w:b/>
          <w:i/>
          <w:sz w:val="22"/>
          <w:szCs w:val="22"/>
        </w:rPr>
      </w:pPr>
      <w:r w:rsidRPr="0096130F">
        <w:rPr>
          <w:b/>
          <w:i/>
          <w:sz w:val="22"/>
          <w:szCs w:val="22"/>
        </w:rPr>
        <w:t>4.</w:t>
      </w:r>
      <w:r w:rsidRPr="0096130F">
        <w:rPr>
          <w:i/>
          <w:sz w:val="22"/>
          <w:szCs w:val="22"/>
        </w:rPr>
        <w:t xml:space="preserve">   </w:t>
      </w:r>
      <w:r w:rsidRPr="0096130F">
        <w:rPr>
          <w:b/>
          <w:i/>
          <w:sz w:val="22"/>
          <w:szCs w:val="22"/>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p>
    <w:p w:rsidR="008B4E24" w:rsidRPr="0096130F" w:rsidRDefault="008B4E24" w:rsidP="008B4E24">
      <w:pPr>
        <w:ind w:left="360" w:hanging="360"/>
        <w:jc w:val="both"/>
        <w:rPr>
          <w:i/>
          <w:sz w:val="22"/>
          <w:szCs w:val="22"/>
        </w:rPr>
      </w:pPr>
      <w:r w:rsidRPr="0096130F">
        <w:rPr>
          <w:i/>
          <w:sz w:val="22"/>
          <w:szCs w:val="22"/>
        </w:rPr>
        <w:t>5.</w:t>
      </w:r>
      <w:r w:rsidRPr="0096130F">
        <w:rPr>
          <w:i/>
          <w:sz w:val="22"/>
          <w:szCs w:val="22"/>
        </w:rPr>
        <w:tab/>
        <w:t>Tehniskajā piedāvājumā piedāvājot ekvivalentu preci, Piegādātājam jāpierāda tās ekvivalentums. 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p w:rsidR="008B4E24" w:rsidRDefault="008B4E24"/>
    <w:p w:rsidR="008B4E24" w:rsidRDefault="008B4E24"/>
    <w:p w:rsidR="008B4E24" w:rsidRDefault="008B4E24"/>
    <w:tbl>
      <w:tblPr>
        <w:tblStyle w:val="TableGrid"/>
        <w:tblW w:w="14879" w:type="dxa"/>
        <w:tblLook w:val="04A0" w:firstRow="1" w:lastRow="0" w:firstColumn="1" w:lastColumn="0" w:noHBand="0" w:noVBand="1"/>
      </w:tblPr>
      <w:tblGrid>
        <w:gridCol w:w="837"/>
        <w:gridCol w:w="2135"/>
        <w:gridCol w:w="6095"/>
        <w:gridCol w:w="5812"/>
      </w:tblGrid>
      <w:tr w:rsidR="008B4E24" w:rsidTr="006916C9">
        <w:tc>
          <w:tcPr>
            <w:tcW w:w="837" w:type="dxa"/>
          </w:tcPr>
          <w:p w:rsidR="008B4E24" w:rsidRDefault="008B4E24">
            <w:pPr>
              <w:rPr>
                <w:b/>
              </w:rPr>
            </w:pPr>
          </w:p>
          <w:p w:rsidR="008B4E24" w:rsidRDefault="008B4E24">
            <w:pPr>
              <w:rPr>
                <w:b/>
              </w:rPr>
            </w:pPr>
          </w:p>
          <w:p w:rsidR="008B4E24" w:rsidRDefault="008B4E24">
            <w:pPr>
              <w:rPr>
                <w:b/>
              </w:rPr>
            </w:pPr>
          </w:p>
          <w:p w:rsidR="008B4E24" w:rsidRDefault="008B4E24">
            <w:pPr>
              <w:rPr>
                <w:b/>
              </w:rPr>
            </w:pPr>
          </w:p>
          <w:p w:rsidR="008B4E24" w:rsidRPr="008B4E24" w:rsidRDefault="008B4E24">
            <w:pPr>
              <w:rPr>
                <w:b/>
              </w:rPr>
            </w:pPr>
            <w:proofErr w:type="spellStart"/>
            <w:r w:rsidRPr="008B4E24">
              <w:rPr>
                <w:b/>
              </w:rPr>
              <w:t>N.p.k</w:t>
            </w:r>
            <w:proofErr w:type="spellEnd"/>
            <w:r w:rsidRPr="008B4E24">
              <w:rPr>
                <w:b/>
              </w:rPr>
              <w:t xml:space="preserve">. </w:t>
            </w:r>
          </w:p>
        </w:tc>
        <w:tc>
          <w:tcPr>
            <w:tcW w:w="213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Nosaukums</w:t>
            </w:r>
          </w:p>
        </w:tc>
        <w:tc>
          <w:tcPr>
            <w:tcW w:w="6095" w:type="dxa"/>
          </w:tcPr>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Default="008B4E24" w:rsidP="008B4E24">
            <w:pPr>
              <w:jc w:val="center"/>
              <w:rPr>
                <w:b/>
              </w:rPr>
            </w:pPr>
          </w:p>
          <w:p w:rsidR="008B4E24" w:rsidRPr="008B4E24" w:rsidRDefault="008B4E24" w:rsidP="008B4E24">
            <w:pPr>
              <w:jc w:val="center"/>
              <w:rPr>
                <w:b/>
              </w:rPr>
            </w:pPr>
            <w:r w:rsidRPr="008B4E24">
              <w:rPr>
                <w:b/>
              </w:rPr>
              <w:t>Tehniskā specifikācija</w:t>
            </w:r>
          </w:p>
        </w:tc>
        <w:tc>
          <w:tcPr>
            <w:tcW w:w="5812" w:type="dxa"/>
          </w:tcPr>
          <w:p w:rsidR="008B4E24" w:rsidRDefault="008B4E24" w:rsidP="008B4E24">
            <w:pPr>
              <w:jc w:val="center"/>
              <w:rPr>
                <w:b/>
                <w:color w:val="000000"/>
              </w:rPr>
            </w:pPr>
            <w:r w:rsidRPr="00E03AD6">
              <w:rPr>
                <w:b/>
                <w:color w:val="000000"/>
              </w:rPr>
              <w:t xml:space="preserve">Tehniskais piedāvājums </w:t>
            </w:r>
          </w:p>
          <w:p w:rsidR="008B4E24" w:rsidRPr="00F3695A" w:rsidRDefault="008B4E24" w:rsidP="008B4E24">
            <w:pPr>
              <w:rPr>
                <w:i/>
                <w:sz w:val="22"/>
              </w:rPr>
            </w:pPr>
            <w:r w:rsidRPr="00F3695A">
              <w:rPr>
                <w:i/>
                <w:sz w:val="22"/>
              </w:rPr>
              <w:t>Pretendenta aizpildīta aile, kurā būs rakstīts tikai "atbilst", tiks uzskatīta par nepietiekošu informāciju.</w:t>
            </w:r>
          </w:p>
          <w:p w:rsidR="008B4E24" w:rsidRPr="00F3695A" w:rsidRDefault="008B4E24" w:rsidP="008B4E24">
            <w:pPr>
              <w:rPr>
                <w:i/>
                <w:sz w:val="22"/>
              </w:rPr>
            </w:pPr>
            <w:r w:rsidRPr="00F3695A">
              <w:rPr>
                <w:i/>
                <w:sz w:val="22"/>
              </w:rPr>
              <w:t>Jānorāda:</w:t>
            </w:r>
          </w:p>
          <w:p w:rsidR="008B4E24" w:rsidRPr="00F3695A" w:rsidRDefault="008B4E24" w:rsidP="008B4E24">
            <w:pPr>
              <w:rPr>
                <w:i/>
                <w:sz w:val="22"/>
              </w:rPr>
            </w:pPr>
            <w:r>
              <w:rPr>
                <w:i/>
                <w:sz w:val="22"/>
              </w:rPr>
              <w:t xml:space="preserve">- </w:t>
            </w:r>
            <w:r w:rsidRPr="00F3695A">
              <w:rPr>
                <w:i/>
                <w:sz w:val="22"/>
              </w:rPr>
              <w:t>katras piedāvātās preces tehnisko un darbības parametru aprakstus, atbilstoši tehniskajai specifikācijai;</w:t>
            </w:r>
          </w:p>
          <w:p w:rsidR="008B4E24" w:rsidRPr="00F3695A" w:rsidRDefault="008B4E24" w:rsidP="008B4E24">
            <w:pPr>
              <w:rPr>
                <w:i/>
                <w:sz w:val="22"/>
              </w:rPr>
            </w:pPr>
            <w:r>
              <w:rPr>
                <w:i/>
                <w:sz w:val="22"/>
              </w:rPr>
              <w:t xml:space="preserve">- </w:t>
            </w:r>
            <w:r w:rsidRPr="00F3695A">
              <w:rPr>
                <w:i/>
                <w:sz w:val="22"/>
              </w:rPr>
              <w:t>preču garantijas termiņš;</w:t>
            </w:r>
          </w:p>
          <w:p w:rsidR="008B4E24" w:rsidRDefault="008B4E24" w:rsidP="008B4E24">
            <w:r>
              <w:rPr>
                <w:i/>
                <w:sz w:val="22"/>
              </w:rPr>
              <w:t xml:space="preserve">- </w:t>
            </w:r>
            <w:r w:rsidRPr="00F3695A">
              <w:rPr>
                <w:i/>
                <w:sz w:val="22"/>
              </w:rPr>
              <w:t>papildus informācija – ražotāja avots, kur var pārliecināties par piedāvātā modeļa ražotāja tehniskajiem parametriem.</w:t>
            </w:r>
          </w:p>
        </w:tc>
      </w:tr>
      <w:tr w:rsidR="008B4E24" w:rsidTr="006916C9">
        <w:tc>
          <w:tcPr>
            <w:tcW w:w="837" w:type="dxa"/>
          </w:tcPr>
          <w:p w:rsidR="008B4E24" w:rsidRDefault="008B4E24" w:rsidP="008B4E24">
            <w:r>
              <w:t xml:space="preserve">1. </w:t>
            </w:r>
          </w:p>
        </w:tc>
        <w:tc>
          <w:tcPr>
            <w:tcW w:w="2135" w:type="dxa"/>
          </w:tcPr>
          <w:p w:rsidR="008B4E24" w:rsidRDefault="008B4E24" w:rsidP="008B4E24">
            <w:r w:rsidRPr="00D04870">
              <w:rPr>
                <w:b/>
              </w:rPr>
              <w:t>Taust</w:t>
            </w:r>
            <w:r>
              <w:rPr>
                <w:b/>
              </w:rPr>
              <w:t>s iekārtas vibrācijas mērīšanai (</w:t>
            </w:r>
            <w:proofErr w:type="spellStart"/>
            <w:r w:rsidRPr="00D04870">
              <w:rPr>
                <w:b/>
              </w:rPr>
              <w:t>Machine</w:t>
            </w:r>
            <w:proofErr w:type="spellEnd"/>
            <w:r w:rsidRPr="00D04870">
              <w:rPr>
                <w:b/>
              </w:rPr>
              <w:t xml:space="preserve"> </w:t>
            </w:r>
            <w:proofErr w:type="spellStart"/>
            <w:r w:rsidRPr="00D04870">
              <w:rPr>
                <w:b/>
              </w:rPr>
              <w:t>Condition</w:t>
            </w:r>
            <w:proofErr w:type="spellEnd"/>
            <w:r w:rsidRPr="00D04870">
              <w:rPr>
                <w:b/>
              </w:rPr>
              <w:t xml:space="preserve"> </w:t>
            </w:r>
            <w:proofErr w:type="spellStart"/>
            <w:r w:rsidRPr="00D04870">
              <w:rPr>
                <w:b/>
              </w:rPr>
              <w:t>Advisor</w:t>
            </w:r>
            <w:proofErr w:type="spellEnd"/>
            <w:r>
              <w:rPr>
                <w:b/>
              </w:rPr>
              <w:t>)</w:t>
            </w:r>
            <w:r w:rsidR="00C07C27">
              <w:rPr>
                <w:b/>
              </w:rPr>
              <w:t xml:space="preserve"> – 1 gab.</w:t>
            </w:r>
          </w:p>
        </w:tc>
        <w:tc>
          <w:tcPr>
            <w:tcW w:w="6095" w:type="dxa"/>
            <w:vAlign w:val="center"/>
          </w:tcPr>
          <w:p w:rsidR="008B4E24" w:rsidRPr="008B4E24" w:rsidRDefault="008B4E24" w:rsidP="008B4E24">
            <w:pPr>
              <w:spacing w:line="256" w:lineRule="auto"/>
              <w:jc w:val="both"/>
              <w:rPr>
                <w:b/>
                <w:sz w:val="22"/>
                <w:szCs w:val="22"/>
              </w:rPr>
            </w:pPr>
            <w:r w:rsidRPr="008B4E24">
              <w:rPr>
                <w:b/>
                <w:sz w:val="22"/>
                <w:szCs w:val="22"/>
              </w:rPr>
              <w:t>Vibrāciju uztveršana:</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t>Integrēts iekšējais pjezoelektriskais paātrinājuma sensors;</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t xml:space="preserve">Iekārtai jābūt iespējai pievienot standarta 100 </w:t>
            </w:r>
            <w:proofErr w:type="spellStart"/>
            <w:r w:rsidRPr="008B4E24">
              <w:rPr>
                <w:sz w:val="22"/>
                <w:szCs w:val="22"/>
                <w:lang w:val="lv-LV"/>
              </w:rPr>
              <w:t>mV</w:t>
            </w:r>
            <w:proofErr w:type="spellEnd"/>
            <w:r w:rsidRPr="008B4E24">
              <w:rPr>
                <w:sz w:val="22"/>
                <w:szCs w:val="22"/>
                <w:lang w:val="lv-LV"/>
              </w:rPr>
              <w:t>/</w:t>
            </w:r>
            <w:proofErr w:type="spellStart"/>
            <w:r w:rsidRPr="008B4E24">
              <w:rPr>
                <w:sz w:val="22"/>
                <w:szCs w:val="22"/>
                <w:lang w:val="lv-LV"/>
              </w:rPr>
              <w:t>gE</w:t>
            </w:r>
            <w:proofErr w:type="spellEnd"/>
            <w:r w:rsidRPr="008B4E24">
              <w:rPr>
                <w:sz w:val="22"/>
                <w:szCs w:val="22"/>
                <w:lang w:val="lv-LV"/>
              </w:rPr>
              <w:t xml:space="preserve"> ārējo </w:t>
            </w:r>
            <w:proofErr w:type="spellStart"/>
            <w:r w:rsidRPr="008B4E24">
              <w:rPr>
                <w:sz w:val="22"/>
                <w:szCs w:val="22"/>
                <w:lang w:val="lv-LV"/>
              </w:rPr>
              <w:t>akselerometru</w:t>
            </w:r>
            <w:proofErr w:type="spellEnd"/>
            <w:r w:rsidRPr="008B4E24">
              <w:rPr>
                <w:sz w:val="22"/>
                <w:szCs w:val="22"/>
                <w:lang w:val="lv-LV"/>
              </w:rPr>
              <w:t>.</w:t>
            </w:r>
          </w:p>
          <w:p w:rsidR="008B4E24" w:rsidRPr="008B4E24" w:rsidRDefault="008B4E24" w:rsidP="008B4E24">
            <w:pPr>
              <w:spacing w:line="256" w:lineRule="auto"/>
              <w:jc w:val="both"/>
              <w:rPr>
                <w:b/>
                <w:sz w:val="22"/>
                <w:szCs w:val="22"/>
              </w:rPr>
            </w:pPr>
            <w:r w:rsidRPr="008B4E24">
              <w:rPr>
                <w:b/>
                <w:sz w:val="22"/>
                <w:szCs w:val="22"/>
              </w:rPr>
              <w:t>Temperatūras mērīšana:</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t xml:space="preserve">Iekārtai jābūt iekšējais </w:t>
            </w:r>
            <w:r w:rsidR="006916C9" w:rsidRPr="008B4E24">
              <w:rPr>
                <w:sz w:val="22"/>
                <w:szCs w:val="22"/>
                <w:lang w:val="lv-LV"/>
              </w:rPr>
              <w:t>infrasarkanais</w:t>
            </w:r>
            <w:r w:rsidRPr="008B4E24">
              <w:rPr>
                <w:sz w:val="22"/>
                <w:szCs w:val="22"/>
                <w:lang w:val="lv-LV"/>
              </w:rPr>
              <w:t xml:space="preserve"> staru temperatūras sensors.</w:t>
            </w:r>
          </w:p>
          <w:p w:rsidR="008B4E24" w:rsidRPr="008B4E24" w:rsidRDefault="008B4E24" w:rsidP="008B4E24">
            <w:pPr>
              <w:spacing w:line="256" w:lineRule="auto"/>
              <w:jc w:val="both"/>
              <w:rPr>
                <w:b/>
                <w:sz w:val="22"/>
                <w:szCs w:val="22"/>
              </w:rPr>
            </w:pPr>
            <w:r w:rsidRPr="008B4E24">
              <w:rPr>
                <w:b/>
                <w:sz w:val="22"/>
                <w:szCs w:val="22"/>
              </w:rPr>
              <w:lastRenderedPageBreak/>
              <w:t>Mērījumi:</w:t>
            </w:r>
          </w:p>
          <w:p w:rsidR="008B4E24" w:rsidRPr="008B4E24" w:rsidRDefault="008B4E24" w:rsidP="008B4E24">
            <w:pPr>
              <w:pStyle w:val="ListParagraph"/>
              <w:numPr>
                <w:ilvl w:val="0"/>
                <w:numId w:val="1"/>
              </w:numPr>
              <w:spacing w:line="256" w:lineRule="auto"/>
              <w:jc w:val="both"/>
              <w:rPr>
                <w:sz w:val="22"/>
                <w:szCs w:val="22"/>
                <w:lang w:val="lv-LV"/>
              </w:rPr>
            </w:pPr>
            <w:proofErr w:type="spellStart"/>
            <w:r w:rsidRPr="008B4E24">
              <w:rPr>
                <w:sz w:val="22"/>
                <w:szCs w:val="22"/>
                <w:u w:val="single"/>
                <w:lang w:val="lv-LV"/>
              </w:rPr>
              <w:t>Vibroātrums</w:t>
            </w:r>
            <w:proofErr w:type="spellEnd"/>
            <w:r w:rsidRPr="008B4E24">
              <w:rPr>
                <w:sz w:val="22"/>
                <w:szCs w:val="22"/>
                <w:u w:val="single"/>
                <w:lang w:val="lv-LV"/>
              </w:rPr>
              <w:t>:</w:t>
            </w:r>
            <w:r w:rsidRPr="008B4E24">
              <w:rPr>
                <w:sz w:val="22"/>
                <w:szCs w:val="22"/>
                <w:lang w:val="lv-LV"/>
              </w:rPr>
              <w:t xml:space="preserve"> diapazons: vismaz amplitūdā no 0,7 līdz </w:t>
            </w:r>
            <w:r w:rsidR="006916C9">
              <w:rPr>
                <w:sz w:val="22"/>
                <w:szCs w:val="22"/>
                <w:lang w:val="lv-LV"/>
              </w:rPr>
              <w:t xml:space="preserve">           </w:t>
            </w:r>
            <w:r w:rsidRPr="008B4E24">
              <w:rPr>
                <w:sz w:val="22"/>
                <w:szCs w:val="22"/>
                <w:lang w:val="lv-LV"/>
              </w:rPr>
              <w:t xml:space="preserve">65,0 mm/s (RMS </w:t>
            </w:r>
            <w:proofErr w:type="spellStart"/>
            <w:r w:rsidRPr="008B4E24">
              <w:rPr>
                <w:sz w:val="22"/>
                <w:szCs w:val="22"/>
                <w:lang w:val="lv-LV"/>
              </w:rPr>
              <w:t>vertība</w:t>
            </w:r>
            <w:proofErr w:type="spellEnd"/>
            <w:r w:rsidRPr="008B4E24">
              <w:rPr>
                <w:sz w:val="22"/>
                <w:szCs w:val="22"/>
                <w:lang w:val="lv-LV"/>
              </w:rPr>
              <w:t>)(ekvivalentā maksimālās amplitūdas vērtība) atbilstoši standarta ISO 10816-3 prasībām;</w:t>
            </w:r>
          </w:p>
          <w:p w:rsidR="008B4E24" w:rsidRPr="008B4E24" w:rsidRDefault="006916C9" w:rsidP="008B4E24">
            <w:pPr>
              <w:pStyle w:val="ListParagraph"/>
              <w:numPr>
                <w:ilvl w:val="0"/>
                <w:numId w:val="1"/>
              </w:numPr>
              <w:spacing w:line="256" w:lineRule="auto"/>
              <w:jc w:val="both"/>
              <w:rPr>
                <w:sz w:val="22"/>
                <w:szCs w:val="22"/>
                <w:lang w:val="lv-LV"/>
              </w:rPr>
            </w:pPr>
            <w:r>
              <w:rPr>
                <w:sz w:val="22"/>
                <w:szCs w:val="22"/>
                <w:lang w:val="lv-LV"/>
              </w:rPr>
              <w:t>F</w:t>
            </w:r>
            <w:r w:rsidR="008B4E24" w:rsidRPr="008B4E24">
              <w:rPr>
                <w:sz w:val="22"/>
                <w:szCs w:val="22"/>
                <w:lang w:val="lv-LV"/>
              </w:rPr>
              <w:t>rekvence:  vismaz amplitūdā no 10 līdz 1000 Hz atbilstoši standarta ISO 2954 prasībām;</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 xml:space="preserve">Paātrinājuma </w:t>
            </w:r>
            <w:proofErr w:type="spellStart"/>
            <w:r w:rsidRPr="008B4E24">
              <w:rPr>
                <w:sz w:val="22"/>
                <w:szCs w:val="22"/>
                <w:u w:val="single"/>
                <w:lang w:val="lv-LV"/>
              </w:rPr>
              <w:t>apliecēja</w:t>
            </w:r>
            <w:proofErr w:type="spellEnd"/>
            <w:r w:rsidRPr="008B4E24">
              <w:rPr>
                <w:sz w:val="22"/>
                <w:szCs w:val="22"/>
                <w:lang w:val="lv-LV"/>
              </w:rPr>
              <w:t xml:space="preserve"> diapazons: vismaz no 0,2 līdz 50,0 </w:t>
            </w:r>
            <w:proofErr w:type="spellStart"/>
            <w:r w:rsidRPr="008B4E24">
              <w:rPr>
                <w:sz w:val="22"/>
                <w:szCs w:val="22"/>
                <w:lang w:val="lv-LV"/>
              </w:rPr>
              <w:t>gE</w:t>
            </w:r>
            <w:proofErr w:type="spellEnd"/>
            <w:r w:rsidRPr="008B4E24">
              <w:rPr>
                <w:sz w:val="22"/>
                <w:szCs w:val="22"/>
                <w:lang w:val="lv-LV"/>
              </w:rPr>
              <w:t>;</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t>frekvence: līdzīga 3.joslas frekvencei (vismaz no 500 līdz 10000 Hz);</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Temperatūra:</w:t>
            </w:r>
            <w:r w:rsidRPr="008B4E24">
              <w:rPr>
                <w:sz w:val="22"/>
                <w:szCs w:val="22"/>
                <w:lang w:val="lv-LV"/>
              </w:rPr>
              <w:t xml:space="preserve"> diapazons: vismaz no -20 līdz +200°C;</w:t>
            </w:r>
          </w:p>
          <w:p w:rsidR="008B4E24" w:rsidRPr="008B4E24" w:rsidRDefault="006916C9" w:rsidP="008B4E24">
            <w:pPr>
              <w:pStyle w:val="ListParagraph"/>
              <w:numPr>
                <w:ilvl w:val="0"/>
                <w:numId w:val="1"/>
              </w:numPr>
              <w:spacing w:line="256" w:lineRule="auto"/>
              <w:jc w:val="both"/>
              <w:rPr>
                <w:sz w:val="22"/>
                <w:szCs w:val="22"/>
                <w:lang w:val="lv-LV"/>
              </w:rPr>
            </w:pPr>
            <w:r>
              <w:rPr>
                <w:sz w:val="22"/>
                <w:szCs w:val="22"/>
                <w:lang w:val="lv-LV"/>
              </w:rPr>
              <w:t>I</w:t>
            </w:r>
            <w:r w:rsidR="008B4E24" w:rsidRPr="008B4E24">
              <w:rPr>
                <w:sz w:val="22"/>
                <w:szCs w:val="22"/>
                <w:lang w:val="lv-LV"/>
              </w:rPr>
              <w:t>nfrasarkanā starojuma temperatūras mērījumu precizitāte: vismaz 2°C;</w:t>
            </w:r>
          </w:p>
          <w:p w:rsidR="008B4E24" w:rsidRPr="008B4E24" w:rsidRDefault="006916C9" w:rsidP="008B4E24">
            <w:pPr>
              <w:pStyle w:val="ListParagraph"/>
              <w:numPr>
                <w:ilvl w:val="0"/>
                <w:numId w:val="1"/>
              </w:numPr>
              <w:spacing w:line="256" w:lineRule="auto"/>
              <w:jc w:val="both"/>
              <w:rPr>
                <w:sz w:val="22"/>
                <w:szCs w:val="22"/>
                <w:lang w:val="lv-LV"/>
              </w:rPr>
            </w:pPr>
            <w:r>
              <w:rPr>
                <w:sz w:val="22"/>
                <w:szCs w:val="22"/>
                <w:lang w:val="lv-LV"/>
              </w:rPr>
              <w:t>T</w:t>
            </w:r>
            <w:r w:rsidR="008B4E24" w:rsidRPr="008B4E24">
              <w:rPr>
                <w:sz w:val="22"/>
                <w:szCs w:val="22"/>
                <w:lang w:val="lv-LV"/>
              </w:rPr>
              <w:t>emperatūras mērīšanas attālums: mazs uztveršanas attālums, ne tāl</w:t>
            </w:r>
            <w:r>
              <w:rPr>
                <w:sz w:val="22"/>
                <w:szCs w:val="22"/>
                <w:lang w:val="lv-LV"/>
              </w:rPr>
              <w:t>āk kā 10 cm no mērījuma virsmas.</w:t>
            </w:r>
          </w:p>
          <w:p w:rsidR="008B4E24" w:rsidRPr="008B4E24" w:rsidRDefault="008B4E24" w:rsidP="008B4E24">
            <w:pPr>
              <w:spacing w:line="256" w:lineRule="auto"/>
              <w:jc w:val="both"/>
              <w:rPr>
                <w:b/>
                <w:sz w:val="22"/>
                <w:szCs w:val="22"/>
              </w:rPr>
            </w:pPr>
            <w:r w:rsidRPr="008B4E24">
              <w:rPr>
                <w:b/>
                <w:sz w:val="22"/>
                <w:szCs w:val="22"/>
              </w:rPr>
              <w:t>Pārējie parametri:</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Darba temperatūras diapazons</w:t>
            </w:r>
            <w:r w:rsidRPr="008B4E24">
              <w:rPr>
                <w:sz w:val="22"/>
                <w:szCs w:val="22"/>
                <w:lang w:val="lv-LV"/>
              </w:rPr>
              <w:t>: lietošanas laikā: vismaz no -10 līdz +60°C;</w:t>
            </w:r>
            <w:r>
              <w:rPr>
                <w:sz w:val="22"/>
                <w:szCs w:val="22"/>
                <w:lang w:val="lv-LV"/>
              </w:rPr>
              <w:t xml:space="preserve"> </w:t>
            </w:r>
            <w:r w:rsidRPr="008B4E24">
              <w:rPr>
                <w:sz w:val="22"/>
                <w:szCs w:val="22"/>
                <w:lang w:val="lv-LV"/>
              </w:rPr>
              <w:t>uzlādes laikā: vismaz amplitūdā no 0 līdz +40°C;</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Uzglabāšanas temperatūra</w:t>
            </w:r>
            <w:r w:rsidRPr="008B4E24">
              <w:rPr>
                <w:sz w:val="22"/>
                <w:szCs w:val="22"/>
                <w:lang w:val="lv-LV"/>
              </w:rPr>
              <w:t>: mazāk nekā vienu mēnesi: vismaz diapazonā no -20 līdz +45°C;</w:t>
            </w:r>
            <w:r>
              <w:rPr>
                <w:sz w:val="22"/>
                <w:szCs w:val="22"/>
                <w:lang w:val="lv-LV"/>
              </w:rPr>
              <w:t xml:space="preserve"> </w:t>
            </w:r>
            <w:r w:rsidRPr="008B4E24">
              <w:rPr>
                <w:sz w:val="22"/>
                <w:szCs w:val="22"/>
                <w:lang w:val="lv-LV"/>
              </w:rPr>
              <w:t>vairāk nekā vienu mēnesi, taču mazāk nekā sešus mēnešus: vismaz diapazonā no -20 līdz +35°C;</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Mitrums</w:t>
            </w:r>
            <w:r w:rsidRPr="008B4E24">
              <w:rPr>
                <w:sz w:val="22"/>
                <w:szCs w:val="22"/>
                <w:lang w:val="lv-LV"/>
              </w:rPr>
              <w:t>: 95% relatīvā mitruma bez kondensāta;</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Korpuss</w:t>
            </w:r>
            <w:r w:rsidRPr="008B4E24">
              <w:rPr>
                <w:sz w:val="22"/>
                <w:szCs w:val="22"/>
                <w:lang w:val="lv-LV"/>
              </w:rPr>
              <w:t>: IP54;</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Apstiprinājumi</w:t>
            </w:r>
            <w:r w:rsidRPr="008B4E24">
              <w:rPr>
                <w:sz w:val="22"/>
                <w:szCs w:val="22"/>
                <w:lang w:val="lv-LV"/>
              </w:rPr>
              <w:t>:</w:t>
            </w:r>
            <w:r>
              <w:rPr>
                <w:sz w:val="22"/>
                <w:szCs w:val="22"/>
                <w:lang w:val="lv-LV"/>
              </w:rPr>
              <w:t xml:space="preserve"> CE marķējums;</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Kritiena tests</w:t>
            </w:r>
            <w:r w:rsidRPr="008B4E24">
              <w:rPr>
                <w:sz w:val="22"/>
                <w:szCs w:val="22"/>
                <w:lang w:val="lv-LV"/>
              </w:rPr>
              <w:t>: 2 m;</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Masa</w:t>
            </w:r>
            <w:r w:rsidRPr="008B4E24">
              <w:rPr>
                <w:sz w:val="22"/>
                <w:szCs w:val="22"/>
                <w:lang w:val="lv-LV"/>
              </w:rPr>
              <w:t>: 125±10 g;</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Izmēri</w:t>
            </w:r>
            <w:r w:rsidRPr="008B4E24">
              <w:rPr>
                <w:sz w:val="22"/>
                <w:szCs w:val="22"/>
                <w:lang w:val="lv-LV"/>
              </w:rPr>
              <w:t>: garums– ne vairāk kā 200,0 mm; platums – ne vairāk kā 47,0 mm; augstums – ne vairāk kā 26 mm;</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Bateriju darbības laiks</w:t>
            </w:r>
            <w:r w:rsidRPr="008B4E24">
              <w:rPr>
                <w:sz w:val="22"/>
                <w:szCs w:val="22"/>
                <w:lang w:val="lv-LV"/>
              </w:rPr>
              <w:t>: vismaz 10 stundas bez uzlādes (aptuveni 1000 mērījumi);</w:t>
            </w:r>
          </w:p>
          <w:p w:rsidR="008B4E24" w:rsidRPr="008B4E24" w:rsidRDefault="006916C9" w:rsidP="008B4E24">
            <w:pPr>
              <w:pStyle w:val="ListParagraph"/>
              <w:numPr>
                <w:ilvl w:val="0"/>
                <w:numId w:val="1"/>
              </w:numPr>
              <w:spacing w:line="256" w:lineRule="auto"/>
              <w:jc w:val="both"/>
              <w:rPr>
                <w:sz w:val="22"/>
                <w:szCs w:val="22"/>
                <w:lang w:val="lv-LV"/>
              </w:rPr>
            </w:pPr>
            <w:r>
              <w:rPr>
                <w:sz w:val="22"/>
                <w:szCs w:val="22"/>
                <w:lang w:val="lv-LV"/>
              </w:rPr>
              <w:t>I</w:t>
            </w:r>
            <w:r w:rsidR="008B4E24" w:rsidRPr="008B4E24">
              <w:rPr>
                <w:sz w:val="22"/>
                <w:szCs w:val="22"/>
                <w:lang w:val="lv-LV"/>
              </w:rPr>
              <w:t>zmantojot ārējo sensoru: līdz 55% mazāk bateriju darbības laiks;</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Atbalstītais ārējais sensors</w:t>
            </w:r>
            <w:r w:rsidRPr="008B4E24">
              <w:rPr>
                <w:sz w:val="22"/>
                <w:szCs w:val="22"/>
                <w:lang w:val="lv-LV"/>
              </w:rPr>
              <w:t xml:space="preserve">: jebkurš standarta 100 </w:t>
            </w:r>
            <w:proofErr w:type="spellStart"/>
            <w:r w:rsidRPr="008B4E24">
              <w:rPr>
                <w:sz w:val="22"/>
                <w:szCs w:val="22"/>
                <w:lang w:val="lv-LV"/>
              </w:rPr>
              <w:t>mV</w:t>
            </w:r>
            <w:proofErr w:type="spellEnd"/>
            <w:r w:rsidRPr="008B4E24">
              <w:rPr>
                <w:sz w:val="22"/>
                <w:szCs w:val="22"/>
                <w:lang w:val="lv-LV"/>
              </w:rPr>
              <w:t xml:space="preserve">/g jūtības </w:t>
            </w:r>
            <w:proofErr w:type="spellStart"/>
            <w:r w:rsidRPr="008B4E24">
              <w:rPr>
                <w:sz w:val="22"/>
                <w:szCs w:val="22"/>
                <w:lang w:val="lv-LV"/>
              </w:rPr>
              <w:t>akselerometrs</w:t>
            </w:r>
            <w:proofErr w:type="spellEnd"/>
            <w:r w:rsidRPr="008B4E24">
              <w:rPr>
                <w:sz w:val="22"/>
                <w:szCs w:val="22"/>
                <w:lang w:val="lv-LV"/>
              </w:rPr>
              <w:t>;</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lastRenderedPageBreak/>
              <w:t xml:space="preserve">ārējā sensora barošana: 24V līdzstrāva ar strāvas stiprumu 35 </w:t>
            </w:r>
            <w:proofErr w:type="spellStart"/>
            <w:r w:rsidRPr="008B4E24">
              <w:rPr>
                <w:sz w:val="22"/>
                <w:szCs w:val="22"/>
                <w:lang w:val="lv-LV"/>
              </w:rPr>
              <w:t>mA</w:t>
            </w:r>
            <w:proofErr w:type="spellEnd"/>
            <w:r w:rsidRPr="008B4E24">
              <w:rPr>
                <w:sz w:val="22"/>
                <w:szCs w:val="22"/>
                <w:lang w:val="lv-LV"/>
              </w:rPr>
              <w:t>;</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u w:val="single"/>
                <w:lang w:val="lv-LV"/>
              </w:rPr>
              <w:t>Lādētāja tehniskie dati</w:t>
            </w:r>
            <w:r w:rsidRPr="008B4E24">
              <w:rPr>
                <w:sz w:val="22"/>
                <w:szCs w:val="22"/>
                <w:lang w:val="lv-LV"/>
              </w:rPr>
              <w:t xml:space="preserve">: universāls </w:t>
            </w:r>
            <w:r w:rsidR="006916C9" w:rsidRPr="008B4E24">
              <w:rPr>
                <w:sz w:val="22"/>
                <w:szCs w:val="22"/>
                <w:lang w:val="lv-LV"/>
              </w:rPr>
              <w:t>maiņstrāvas</w:t>
            </w:r>
            <w:r w:rsidRPr="008B4E24">
              <w:rPr>
                <w:sz w:val="22"/>
                <w:szCs w:val="22"/>
                <w:lang w:val="lv-LV"/>
              </w:rPr>
              <w:t>/līdzstrāvas sienas kontaktligzdas spraudnis;</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t xml:space="preserve">ieejas strāva: no 90 līdz 264V </w:t>
            </w:r>
            <w:r w:rsidR="006916C9" w:rsidRPr="008B4E24">
              <w:rPr>
                <w:sz w:val="22"/>
                <w:szCs w:val="22"/>
                <w:lang w:val="lv-LV"/>
              </w:rPr>
              <w:t>maiņstrāva</w:t>
            </w:r>
            <w:r w:rsidRPr="008B4E24">
              <w:rPr>
                <w:sz w:val="22"/>
                <w:szCs w:val="22"/>
                <w:lang w:val="lv-LV"/>
              </w:rPr>
              <w:t>, no 47 līdz 60 Hz;</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t>izejas strāva: 5V stabilizēta līdzstrāva;</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t>pilnīgas uzlādes laiks: no 3 līdz 4 stundām.</w:t>
            </w:r>
          </w:p>
          <w:p w:rsidR="008B4E24" w:rsidRPr="008B4E24" w:rsidRDefault="008B4E24" w:rsidP="008B4E24">
            <w:pPr>
              <w:spacing w:line="256" w:lineRule="auto"/>
              <w:jc w:val="both"/>
              <w:rPr>
                <w:b/>
                <w:sz w:val="22"/>
                <w:szCs w:val="22"/>
              </w:rPr>
            </w:pPr>
            <w:r w:rsidRPr="008B4E24">
              <w:rPr>
                <w:b/>
                <w:sz w:val="22"/>
                <w:szCs w:val="22"/>
              </w:rPr>
              <w:t>Komplekta sastāvdaļas:</w:t>
            </w:r>
          </w:p>
          <w:p w:rsidR="008B4E24" w:rsidRPr="008B4E24" w:rsidRDefault="008B4E24" w:rsidP="008B4E24">
            <w:pPr>
              <w:pStyle w:val="ListParagraph"/>
              <w:numPr>
                <w:ilvl w:val="0"/>
                <w:numId w:val="1"/>
              </w:numPr>
              <w:spacing w:line="256" w:lineRule="auto"/>
              <w:jc w:val="both"/>
              <w:rPr>
                <w:sz w:val="22"/>
                <w:szCs w:val="22"/>
                <w:lang w:val="lv-LV"/>
              </w:rPr>
            </w:pPr>
            <w:proofErr w:type="spellStart"/>
            <w:proofErr w:type="gramStart"/>
            <w:r w:rsidRPr="008B4E24">
              <w:rPr>
                <w:sz w:val="22"/>
                <w:szCs w:val="22"/>
              </w:rPr>
              <w:t>tausts</w:t>
            </w:r>
            <w:proofErr w:type="spellEnd"/>
            <w:proofErr w:type="gramEnd"/>
            <w:r w:rsidRPr="008B4E24">
              <w:rPr>
                <w:sz w:val="22"/>
                <w:szCs w:val="22"/>
              </w:rPr>
              <w:t xml:space="preserve"> </w:t>
            </w:r>
            <w:proofErr w:type="spellStart"/>
            <w:r w:rsidRPr="008B4E24">
              <w:rPr>
                <w:sz w:val="22"/>
                <w:szCs w:val="22"/>
              </w:rPr>
              <w:t>iekārtas</w:t>
            </w:r>
            <w:proofErr w:type="spellEnd"/>
            <w:r w:rsidRPr="008B4E24">
              <w:rPr>
                <w:sz w:val="22"/>
                <w:szCs w:val="22"/>
              </w:rPr>
              <w:t xml:space="preserve"> </w:t>
            </w:r>
            <w:proofErr w:type="spellStart"/>
            <w:r w:rsidRPr="008B4E24">
              <w:rPr>
                <w:sz w:val="22"/>
                <w:szCs w:val="22"/>
              </w:rPr>
              <w:t>vibrācijas</w:t>
            </w:r>
            <w:proofErr w:type="spellEnd"/>
            <w:r w:rsidRPr="008B4E24">
              <w:rPr>
                <w:sz w:val="22"/>
                <w:szCs w:val="22"/>
              </w:rPr>
              <w:t xml:space="preserve"> </w:t>
            </w:r>
            <w:proofErr w:type="spellStart"/>
            <w:r w:rsidRPr="008B4E24">
              <w:rPr>
                <w:sz w:val="22"/>
                <w:szCs w:val="22"/>
              </w:rPr>
              <w:t>mērīšanai</w:t>
            </w:r>
            <w:proofErr w:type="spellEnd"/>
            <w:r w:rsidRPr="008B4E24">
              <w:rPr>
                <w:sz w:val="22"/>
                <w:szCs w:val="22"/>
              </w:rPr>
              <w:t xml:space="preserve"> – 1 gab.</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t>pie jostas stiprināms maks – 1 gab.</w:t>
            </w:r>
          </w:p>
          <w:p w:rsidR="008B4E24" w:rsidRPr="008B4E24" w:rsidRDefault="008B4E24" w:rsidP="008B4E24">
            <w:pPr>
              <w:pStyle w:val="ListParagraph"/>
              <w:numPr>
                <w:ilvl w:val="0"/>
                <w:numId w:val="1"/>
              </w:numPr>
              <w:spacing w:line="256" w:lineRule="auto"/>
              <w:jc w:val="both"/>
              <w:rPr>
                <w:sz w:val="22"/>
                <w:szCs w:val="22"/>
                <w:lang w:val="lv-LV"/>
              </w:rPr>
            </w:pPr>
            <w:r w:rsidRPr="008B4E24">
              <w:rPr>
                <w:rFonts w:eastAsiaTheme="minorHAnsi"/>
                <w:sz w:val="22"/>
                <w:szCs w:val="22"/>
                <w:lang w:val="lv-LV"/>
              </w:rPr>
              <w:t>lādētājs, starptautiskiem standartiem atbilstošs līdzstrāvas barošanas avots – 1 gab.</w:t>
            </w:r>
          </w:p>
          <w:p w:rsidR="008B4E24" w:rsidRPr="008B4E24" w:rsidRDefault="008B4E24" w:rsidP="008B4E24">
            <w:pPr>
              <w:pStyle w:val="ListParagraph"/>
              <w:numPr>
                <w:ilvl w:val="0"/>
                <w:numId w:val="1"/>
              </w:numPr>
              <w:spacing w:line="256" w:lineRule="auto"/>
              <w:jc w:val="both"/>
              <w:rPr>
                <w:sz w:val="22"/>
                <w:szCs w:val="22"/>
                <w:lang w:val="lv-LV"/>
              </w:rPr>
            </w:pPr>
            <w:r w:rsidRPr="008B4E24">
              <w:rPr>
                <w:sz w:val="22"/>
                <w:szCs w:val="22"/>
                <w:lang w:val="lv-LV"/>
              </w:rPr>
              <w:t>lietotāja rokasgrāmata</w:t>
            </w:r>
            <w:r w:rsidR="006916C9">
              <w:rPr>
                <w:sz w:val="22"/>
                <w:szCs w:val="22"/>
                <w:lang w:val="lv-LV"/>
              </w:rPr>
              <w:t xml:space="preserve"> </w:t>
            </w:r>
            <w:r w:rsidRPr="008B4E24">
              <w:rPr>
                <w:sz w:val="22"/>
                <w:szCs w:val="22"/>
                <w:lang w:val="lv-LV"/>
              </w:rPr>
              <w:t>(latviešu vai angļu valodā) – 1 gab.</w:t>
            </w:r>
          </w:p>
          <w:p w:rsidR="008B4E24" w:rsidRPr="006916C9" w:rsidRDefault="008B4E24" w:rsidP="006916C9">
            <w:pPr>
              <w:pStyle w:val="ListParagraph"/>
              <w:numPr>
                <w:ilvl w:val="0"/>
                <w:numId w:val="1"/>
              </w:numPr>
              <w:spacing w:line="256" w:lineRule="auto"/>
              <w:jc w:val="both"/>
              <w:rPr>
                <w:sz w:val="22"/>
                <w:szCs w:val="22"/>
                <w:lang w:val="lv-LV"/>
              </w:rPr>
            </w:pPr>
            <w:r w:rsidRPr="008B4E24">
              <w:rPr>
                <w:sz w:val="22"/>
                <w:szCs w:val="22"/>
                <w:lang w:val="lv-LV"/>
              </w:rPr>
              <w:t>kompaktdisks</w:t>
            </w:r>
            <w:r w:rsidR="006916C9">
              <w:rPr>
                <w:sz w:val="22"/>
                <w:szCs w:val="22"/>
                <w:lang w:val="lv-LV"/>
              </w:rPr>
              <w:t xml:space="preserve"> (jebkurš datu nesējs)</w:t>
            </w:r>
            <w:r w:rsidRPr="008B4E24">
              <w:rPr>
                <w:sz w:val="22"/>
                <w:szCs w:val="22"/>
                <w:lang w:val="lv-LV"/>
              </w:rPr>
              <w:t xml:space="preserve"> ar rokasgrāmatu PDF formātā, tausta mērījuma rezultātu trendu darblapa (Excel fails) – 1 gab.</w:t>
            </w:r>
          </w:p>
        </w:tc>
        <w:tc>
          <w:tcPr>
            <w:tcW w:w="5812" w:type="dxa"/>
          </w:tcPr>
          <w:p w:rsidR="008B4E24" w:rsidRDefault="008B4E24" w:rsidP="008B4E24"/>
        </w:tc>
      </w:tr>
    </w:tbl>
    <w:p w:rsidR="008B4E24" w:rsidRDefault="008B4E24"/>
    <w:sectPr w:rsidR="008B4E24" w:rsidSect="008B4E24">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DB0"/>
    <w:multiLevelType w:val="hybridMultilevel"/>
    <w:tmpl w:val="54B4018C"/>
    <w:lvl w:ilvl="0" w:tplc="9E965578">
      <w:start w:val="1"/>
      <w:numFmt w:val="bullet"/>
      <w:lvlText w:val=""/>
      <w:lvlJc w:val="left"/>
      <w:pPr>
        <w:ind w:left="720" w:hanging="360"/>
      </w:pPr>
      <w:rPr>
        <w:rFonts w:ascii="Symbol" w:hAnsi="Symbol" w:hint="default"/>
        <w:color w:val="000000" w:themeColor="text1"/>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4"/>
    <w:rsid w:val="003B6F5E"/>
    <w:rsid w:val="00525DD4"/>
    <w:rsid w:val="006916C9"/>
    <w:rsid w:val="007B7DAE"/>
    <w:rsid w:val="008B4E24"/>
    <w:rsid w:val="00A948AE"/>
    <w:rsid w:val="00C07C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CA2B-6285-4FF4-99D7-2A08172A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24"/>
    <w:pPr>
      <w:ind w:left="720"/>
      <w:contextualSpacing/>
    </w:pPr>
    <w:rPr>
      <w:lang w:val="en-GB" w:eastAsia="en-US"/>
    </w:rPr>
  </w:style>
  <w:style w:type="paragraph" w:styleId="BalloonText">
    <w:name w:val="Balloon Text"/>
    <w:basedOn w:val="Normal"/>
    <w:link w:val="BalloonTextChar"/>
    <w:uiPriority w:val="99"/>
    <w:semiHidden/>
    <w:unhideWhenUsed/>
    <w:rsid w:val="008B4E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2869</Words>
  <Characters>1636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5</cp:revision>
  <cp:lastPrinted>2017-11-22T08:21:00Z</cp:lastPrinted>
  <dcterms:created xsi:type="dcterms:W3CDTF">2017-11-16T12:47:00Z</dcterms:created>
  <dcterms:modified xsi:type="dcterms:W3CDTF">2017-11-22T08:34:00Z</dcterms:modified>
</cp:coreProperties>
</file>