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062C11" w:rsidRDefault="00062C11" w:rsidP="00062C11">
      <w:pPr>
        <w:jc w:val="right"/>
        <w:rPr>
          <w:b/>
          <w:bCs/>
          <w:sz w:val="22"/>
          <w:szCs w:val="22"/>
          <w:lang w:val="lv-LV"/>
        </w:rPr>
      </w:pPr>
      <w:r w:rsidRPr="00062C11">
        <w:rPr>
          <w:b/>
          <w:bCs/>
          <w:sz w:val="22"/>
          <w:szCs w:val="22"/>
          <w:lang w:val="lv-LV"/>
        </w:rPr>
        <w:t>Pielikums Nr.4</w:t>
      </w:r>
    </w:p>
    <w:p w14:paraId="1EDCD839" w14:textId="77777777" w:rsidR="00062C11" w:rsidRPr="00062C11" w:rsidRDefault="00062C11" w:rsidP="00062C11">
      <w:pPr>
        <w:jc w:val="right"/>
        <w:rPr>
          <w:b/>
          <w:bCs/>
          <w:sz w:val="22"/>
          <w:szCs w:val="22"/>
          <w:lang w:val="lv-LV"/>
        </w:rPr>
      </w:pPr>
      <w:r w:rsidRPr="00062C11">
        <w:rPr>
          <w:b/>
          <w:bCs/>
          <w:sz w:val="22"/>
          <w:szCs w:val="22"/>
          <w:lang w:val="lv-LV"/>
        </w:rPr>
        <w:t xml:space="preserve"> nolikumam ar ID Nr. RTU-2017/106</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Eriņš, turpmāk – Pasūtītājs, no vienas puses, un</w:t>
      </w:r>
    </w:p>
    <w:p w14:paraId="2009C233" w14:textId="77777777"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xml:space="preserve">, kuras vārdā un interesēs, pamatojoties uz Statūtiem, darbojas tās ______________________, turpmāk  – Piegādātājs, no otras puses, </w:t>
      </w:r>
    </w:p>
    <w:p w14:paraId="316BD587" w14:textId="77777777" w:rsidR="00062C11" w:rsidRPr="00062C11" w:rsidRDefault="00062C11" w:rsidP="00062C11">
      <w:pPr>
        <w:tabs>
          <w:tab w:val="center" w:pos="4153"/>
          <w:tab w:val="right" w:pos="8306"/>
        </w:tabs>
        <w:jc w:val="both"/>
        <w:rPr>
          <w:rFonts w:eastAsia="Cambria"/>
          <w:kern w:val="56"/>
          <w:sz w:val="22"/>
          <w:szCs w:val="22"/>
          <w:lang w:val="lv-LV" w:eastAsia="x-none"/>
        </w:rPr>
      </w:pPr>
      <w:r w:rsidRPr="00062C11">
        <w:rPr>
          <w:rFonts w:eastAsia="Cambria"/>
          <w:kern w:val="56"/>
          <w:sz w:val="22"/>
          <w:szCs w:val="22"/>
          <w:lang w:val="lv-LV" w:eastAsia="x-none"/>
        </w:rPr>
        <w:t xml:space="preserve">abi kopā saukti Puses, bet katrs atsevišķi saukti arī kā Puse, saskaņā ar konkursa </w:t>
      </w:r>
      <w:r w:rsidRPr="00062C11">
        <w:rPr>
          <w:rFonts w:eastAsia="Cambria"/>
          <w:b/>
          <w:kern w:val="56"/>
          <w:sz w:val="22"/>
          <w:szCs w:val="22"/>
          <w:lang w:val="lv-LV" w:eastAsia="x-none"/>
        </w:rPr>
        <w:t>“Optisko komponenšu iegāde ERAF projekta “Portatīva ierīce ādas vēža agrīnai bezkontakta diagnostikai”, līguma Nr.1.1.1.1/16/A/197, ietvaros” un elektronikas komponenšu iegāde RTU vajadzībām”</w:t>
      </w:r>
      <w:r w:rsidRPr="00062C11">
        <w:rPr>
          <w:rFonts w:eastAsia="Cambria"/>
          <w:kern w:val="56"/>
          <w:sz w:val="22"/>
          <w:szCs w:val="22"/>
          <w:lang w:val="lv-LV" w:eastAsia="x-none"/>
        </w:rPr>
        <w:t xml:space="preserve">, ar identifikācijas Nr. RTU-2017/106, rezultātiem iepirkuma </w:t>
      </w:r>
      <w:r w:rsidRPr="00062C11">
        <w:rPr>
          <w:rFonts w:eastAsia="Cambria"/>
          <w:b/>
          <w:kern w:val="56"/>
          <w:sz w:val="22"/>
          <w:szCs w:val="22"/>
          <w:lang w:val="lv-LV" w:eastAsia="x-none"/>
        </w:rPr>
        <w:t xml:space="preserve">daļā Nr.___ </w:t>
      </w:r>
      <w:r w:rsidRPr="00062C11">
        <w:rPr>
          <w:rFonts w:eastAsia="Cambria"/>
          <w:i/>
          <w:kern w:val="56"/>
          <w:sz w:val="22"/>
          <w:szCs w:val="22"/>
          <w:lang w:val="lv-LV" w:eastAsia="x-none"/>
        </w:rPr>
        <w:t>“</w:t>
      </w:r>
      <w:r w:rsidRPr="00062C11">
        <w:rPr>
          <w:rFonts w:eastAsia="Cambria"/>
          <w:bCs/>
          <w:i/>
          <w:kern w:val="56"/>
          <w:sz w:val="22"/>
          <w:szCs w:val="22"/>
          <w:lang w:val="lv-LV" w:eastAsia="x-none"/>
        </w:rPr>
        <w:t>_______________</w:t>
      </w:r>
      <w:r w:rsidRPr="00062C11">
        <w:rPr>
          <w:rFonts w:eastAsia="Cambria"/>
          <w:i/>
          <w:kern w:val="56"/>
          <w:sz w:val="22"/>
          <w:szCs w:val="22"/>
          <w:lang w:val="lv-LV" w:eastAsia="x-none"/>
        </w:rPr>
        <w:t>”</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 </w:t>
      </w:r>
      <w:r w:rsidRPr="00062C11">
        <w:rPr>
          <w:kern w:val="56"/>
          <w:sz w:val="22"/>
          <w:szCs w:val="22"/>
          <w:lang w:val="lv-LV"/>
        </w:rPr>
        <w:t>akts, kas apliecina, ka tiek konstatēti Preces Defekti.</w:t>
      </w:r>
    </w:p>
    <w:p w14:paraId="6B00B2D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Tehniskajam piedāvājumam vai Līgumam</w:t>
      </w:r>
      <w:r w:rsidRPr="00062C11">
        <w:rPr>
          <w:kern w:val="56"/>
          <w:sz w:val="22"/>
          <w:szCs w:val="22"/>
          <w:lang w:val="lv-LV"/>
        </w:rPr>
        <w:t>.</w:t>
      </w:r>
    </w:p>
    <w:p w14:paraId="14DA6489"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rFonts w:cs="Cambria"/>
          <w:b/>
          <w:kern w:val="56"/>
          <w:sz w:val="22"/>
          <w:szCs w:val="22"/>
          <w:lang w:val="lv-LV"/>
        </w:rPr>
        <w:t>Iepirkuma procedūra</w:t>
      </w:r>
      <w:r w:rsidRPr="00062C11">
        <w:rPr>
          <w:rFonts w:cs="Cambria"/>
          <w:kern w:val="56"/>
          <w:sz w:val="22"/>
          <w:szCs w:val="22"/>
          <w:lang w:val="lv-LV"/>
        </w:rPr>
        <w:t xml:space="preserve"> – atklāts konkurss “Optisko komponenšu iegāde ERAF projekta “Portatīva ierīce ādas vēža agrīnai bezkontakta diagnostikai”, līguma Nr.1.1.1.1/16/A/197, ietvaros” un elektronikas komponenšu iegāde RTU vajadzībām” ar identifikācijas Nr. RTU-2017/106.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 noteiktajā kārtībā un apmērā ar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 </w:t>
      </w:r>
      <w:r w:rsidRPr="00062C11">
        <w:rPr>
          <w:bCs/>
          <w:kern w:val="56"/>
          <w:sz w:val="22"/>
          <w:szCs w:val="22"/>
          <w:lang w:val="lv-LV"/>
        </w:rPr>
        <w:t>______________________</w:t>
      </w:r>
      <w:r w:rsidRPr="00062C11">
        <w:rPr>
          <w:kern w:val="56"/>
          <w:sz w:val="22"/>
          <w:szCs w:val="22"/>
          <w:lang w:val="lv-LV"/>
        </w:rPr>
        <w:t>.</w:t>
      </w:r>
    </w:p>
    <w:p w14:paraId="274C2151"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 saskaņā ar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523B89A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11CD54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b/>
          <w:kern w:val="56"/>
          <w:sz w:val="22"/>
          <w:szCs w:val="22"/>
          <w:lang w:val="lv-LV"/>
        </w:rPr>
        <w:t>Projekts:</w:t>
      </w:r>
      <w:r w:rsidRPr="00062C11">
        <w:rPr>
          <w:kern w:val="56"/>
          <w:sz w:val="22"/>
          <w:szCs w:val="22"/>
          <w:lang w:val="lv-LV"/>
        </w:rPr>
        <w:t xml:space="preserve"> </w:t>
      </w:r>
      <w:r w:rsidRPr="00062C11">
        <w:rPr>
          <w:bCs/>
          <w:kern w:val="56"/>
          <w:sz w:val="22"/>
          <w:szCs w:val="22"/>
          <w:lang w:val="lv-LV"/>
        </w:rPr>
        <w:t>______________________</w:t>
      </w:r>
      <w:r w:rsidRPr="00062C11">
        <w:rPr>
          <w:kern w:val="56"/>
          <w:sz w:val="22"/>
          <w:szCs w:val="22"/>
          <w:lang w:val="lv-LV"/>
        </w:rPr>
        <w:t>.</w:t>
      </w:r>
    </w:p>
    <w:p w14:paraId="5A302B63"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Pr="00062C11">
        <w:rPr>
          <w:b/>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w:t>
      </w:r>
      <w:r w:rsidRPr="00062C11">
        <w:rPr>
          <w:kern w:val="56"/>
          <w:sz w:val="22"/>
          <w:szCs w:val="22"/>
          <w:lang w:val="lv-LV"/>
        </w:rPr>
        <w:lastRenderedPageBreak/>
        <w:t>pievienotā instrukcija, uzglabāšanas noteikumi u.tml.), kā arī garantē, ka tiks piegādātas jaunas, nelietotas Preces orģināliepakojumā.</w:t>
      </w:r>
    </w:p>
    <w:p w14:paraId="7C6DD415" w14:textId="77777777" w:rsidR="00062C11" w:rsidRPr="00062C11" w:rsidRDefault="00062C11" w:rsidP="00062C11">
      <w:pPr>
        <w:ind w:left="990"/>
        <w:contextualSpacing/>
        <w:jc w:val="both"/>
        <w:rPr>
          <w:b/>
          <w:kern w:val="56"/>
          <w:sz w:val="22"/>
          <w:szCs w:val="22"/>
          <w:lang w:val="lv-LV"/>
        </w:rPr>
      </w:pPr>
    </w:p>
    <w:p w14:paraId="1C6E1E1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Līguma cena un norēķinu kārtība</w:t>
      </w:r>
    </w:p>
    <w:p w14:paraId="47845681" w14:textId="77777777" w:rsidR="00062C11" w:rsidRPr="00062C11" w:rsidRDefault="00062C11" w:rsidP="00062C11">
      <w:pPr>
        <w:numPr>
          <w:ilvl w:val="1"/>
          <w:numId w:val="1"/>
        </w:numPr>
        <w:ind w:left="720" w:hanging="450"/>
        <w:contextualSpacing/>
        <w:jc w:val="both"/>
        <w:rPr>
          <w:rFonts w:eastAsia="Calibri"/>
          <w:sz w:val="22"/>
          <w:szCs w:val="22"/>
          <w:lang w:val="lv-LV"/>
        </w:rPr>
      </w:pPr>
      <w:r w:rsidRPr="00062C11">
        <w:rPr>
          <w:kern w:val="56"/>
          <w:sz w:val="22"/>
          <w:szCs w:val="22"/>
          <w:lang w:val="lv-LV"/>
        </w:rPr>
        <w:t xml:space="preserve">Līgumcena par Preci un tās Piegādi ir </w:t>
      </w:r>
      <w:r w:rsidRPr="00062C11">
        <w:rPr>
          <w:b/>
          <w:kern w:val="56"/>
          <w:sz w:val="22"/>
          <w:szCs w:val="22"/>
          <w:lang w:val="lv-LV"/>
        </w:rPr>
        <w:t>______ EUR</w:t>
      </w:r>
      <w:r w:rsidRPr="00062C11">
        <w:rPr>
          <w:kern w:val="56"/>
          <w:sz w:val="22"/>
          <w:szCs w:val="22"/>
          <w:lang w:val="lv-LV"/>
        </w:rPr>
        <w:t xml:space="preserve"> </w:t>
      </w:r>
      <w:r w:rsidRPr="00062C11">
        <w:rPr>
          <w:i/>
          <w:kern w:val="56"/>
          <w:sz w:val="22"/>
          <w:szCs w:val="22"/>
          <w:lang w:val="lv-LV"/>
        </w:rPr>
        <w:t>(______________)</w:t>
      </w:r>
      <w:r w:rsidRPr="00062C11">
        <w:rPr>
          <w:kern w:val="56"/>
          <w:sz w:val="22"/>
          <w:szCs w:val="22"/>
          <w:lang w:val="lv-LV"/>
        </w:rPr>
        <w:t xml:space="preserve"> bez PVN. Līgumcena visā Līguma darbības laikā nevar tikt pārsniegta. </w:t>
      </w:r>
    </w:p>
    <w:p w14:paraId="3AF7750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Līgumcenai Pasūtītājs maksā Piegādātājam PVN atbilstoši Latvijas Republikas normatīvajos aktos noteiktajam.</w:t>
      </w:r>
    </w:p>
    <w:p w14:paraId="425118B5"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6D9D3689"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Līguma summu Pasūtītājs samaksā 30 (trīsdesmit) dienu laikā pēc </w:t>
      </w:r>
      <w:r w:rsidR="00FB21B5">
        <w:rPr>
          <w:kern w:val="56"/>
          <w:sz w:val="22"/>
          <w:szCs w:val="22"/>
          <w:lang w:val="lv-LV"/>
        </w:rPr>
        <w:t>P</w:t>
      </w:r>
      <w:r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6A29200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piegādes noteikumi un termiņi</w:t>
      </w:r>
    </w:p>
    <w:p w14:paraId="6DBAD71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veic </w:t>
      </w:r>
      <w:r w:rsidRPr="00062C11">
        <w:rPr>
          <w:b/>
          <w:kern w:val="56"/>
          <w:sz w:val="22"/>
          <w:szCs w:val="22"/>
          <w:highlight w:val="lightGray"/>
          <w:lang w:val="lv-LV"/>
        </w:rPr>
        <w:t>__ (_____) ____</w:t>
      </w:r>
      <w:r w:rsidRPr="00062C11">
        <w:rPr>
          <w:b/>
          <w:kern w:val="56"/>
          <w:sz w:val="22"/>
          <w:szCs w:val="22"/>
          <w:lang w:val="lv-LV"/>
        </w:rPr>
        <w:t xml:space="preserve"> laikā </w:t>
      </w:r>
      <w:r w:rsidRPr="00062C11">
        <w:rPr>
          <w:kern w:val="56"/>
          <w:sz w:val="22"/>
          <w:szCs w:val="22"/>
          <w:lang w:val="lv-LV"/>
        </w:rPr>
        <w:t>no Līguma parakstīšanas dienas, Preču piegādi iepriekš saskaņojot ar Pasūtītāju.</w:t>
      </w:r>
    </w:p>
    <w:p w14:paraId="33DAAB28"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Pr="00062C11">
        <w:rPr>
          <w:b/>
          <w:kern w:val="56"/>
          <w:sz w:val="22"/>
          <w:szCs w:val="22"/>
          <w:highlight w:val="lightGray"/>
          <w:lang w:val="lv-LV"/>
        </w:rPr>
        <w:t>_________________</w:t>
      </w:r>
      <w:r w:rsidRPr="00062C11">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334B44" w14:textId="77777777" w:rsidR="00062C11" w:rsidRPr="00062C11" w:rsidRDefault="00062C11" w:rsidP="00062C1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sortiments un daudzums. </w:t>
      </w:r>
    </w:p>
    <w:p w14:paraId="369457CC"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2F2CC14F"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lastRenderedPageBreak/>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5C6B56CB" w14:textId="2447D42F"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_______(________</w:t>
      </w:r>
      <w:r w:rsidRPr="00062C11">
        <w:rPr>
          <w:b/>
          <w:kern w:val="56"/>
          <w:sz w:val="22"/>
          <w:szCs w:val="22"/>
          <w:lang w:val="lv-LV"/>
        </w:rPr>
        <w:t>) mēnešus</w:t>
      </w:r>
      <w:r w:rsidRPr="00062C11">
        <w:rPr>
          <w:kern w:val="56"/>
          <w:sz w:val="22"/>
          <w:szCs w:val="22"/>
          <w:lang w:val="lv-LV"/>
        </w:rPr>
        <w:t xml:space="preserve">. </w:t>
      </w:r>
    </w:p>
    <w:p w14:paraId="1CED8CBB"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 xml:space="preserve">Defektus var pieteikt pa tālruni _____________, darba dienās no 9:00 – 17:00, vai pa e-pastu: </w:t>
      </w:r>
      <w:hyperlink r:id="rId5" w:history="1">
        <w:r w:rsidRPr="00062C11">
          <w:rPr>
            <w:rStyle w:val="Hyperlink"/>
            <w:kern w:val="56"/>
            <w:sz w:val="22"/>
            <w:szCs w:val="22"/>
            <w:lang w:val="lv-LV"/>
          </w:rPr>
          <w:t>_____________</w:t>
        </w:r>
      </w:hyperlink>
      <w:r w:rsidRPr="00062C11">
        <w:rPr>
          <w:kern w:val="56"/>
          <w:sz w:val="22"/>
          <w:szCs w:val="22"/>
          <w:lang w:val="lv-LV"/>
        </w:rPr>
        <w:t>. Defekti, kuri iesniegti pēc plkst. 17:00, uzskatāmi par iesniegtiem nā</w:t>
      </w:r>
      <w:r w:rsidRPr="00062C11">
        <w:rPr>
          <w:rFonts w:eastAsia="Cambria"/>
          <w:kern w:val="56"/>
          <w:sz w:val="22"/>
          <w:szCs w:val="22"/>
          <w:lang w:val="lv-LV"/>
        </w:rPr>
        <w:t>kamajā dienā plkst. 9:00.</w:t>
      </w:r>
    </w:p>
    <w:p w14:paraId="0EEF1250" w14:textId="77777777" w:rsidR="00062C11" w:rsidRPr="00062C11" w:rsidRDefault="00062C11" w:rsidP="00062C11">
      <w:pPr>
        <w:rPr>
          <w:rFonts w:ascii="Cambria" w:eastAsia="Cambria" w:hAnsi="Cambria" w:cs="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par katru nokavēto Preces Piegādes vai Defektu novēršanas dienu, maksā Pasūtītājam līgumsodu 0,5% (piecas desmit daļas procenta) apmērā no Līguma summas, bet ne vairāk par 10% (desmit procenti) no Līguma summas.</w:t>
      </w:r>
    </w:p>
    <w:p w14:paraId="377E101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Ja Pasūtītājs Līguma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6" w:history="1">
        <w:r w:rsidRPr="00062C11">
          <w:rPr>
            <w:rStyle w:val="Hyperlink"/>
            <w:rFonts w:eastAsia="Cambria"/>
            <w:kern w:val="56"/>
            <w:sz w:val="22"/>
            <w:szCs w:val="22"/>
            <w:lang w:val="lv-LV"/>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bookmarkStart w:id="0" w:name="_GoBack"/>
      <w:bookmarkEnd w:id="0"/>
      <w:r w:rsidR="00FB21B5">
        <w:rPr>
          <w:rFonts w:eastAsia="Cambria"/>
          <w:kern w:val="56"/>
          <w:sz w:val="22"/>
          <w:szCs w:val="22"/>
          <w:lang w:val="lv-LV"/>
        </w:rPr>
        <w:t>.</w:t>
      </w:r>
    </w:p>
    <w:p w14:paraId="4DE92F6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7" w:history="1">
        <w:r w:rsidRPr="00062C11">
          <w:rPr>
            <w:rStyle w:val="Hyperlink"/>
            <w:rFonts w:eastAsia="Cambria"/>
            <w:kern w:val="56"/>
            <w:sz w:val="22"/>
            <w:szCs w:val="22"/>
            <w:lang w:val="lv-LV"/>
          </w:rPr>
          <w:t>___________________</w:t>
        </w:r>
      </w:hyperlink>
      <w:r w:rsidRPr="00062C11">
        <w:rPr>
          <w:rFonts w:eastAsia="Cambria"/>
          <w:kern w:val="56"/>
          <w:sz w:val="22"/>
          <w:szCs w:val="22"/>
          <w:lang w:val="lv-LV"/>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2469794"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Pielikums Nr.1 –Tehniskā un finanšu piedāvājuma kopija.</w:t>
      </w: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62C11"/>
    <w:rsid w:val="001404A5"/>
    <w:rsid w:val="002D20EA"/>
    <w:rsid w:val="003048B1"/>
    <w:rsid w:val="0059787A"/>
    <w:rsid w:val="005B0C92"/>
    <w:rsid w:val="00653B28"/>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ordbaro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lis.dzikevics@rtu.lv" TargetMode="External"/><Relationship Id="rId5" Type="http://schemas.openxmlformats.org/officeDocument/2006/relationships/hyperlink" Target="mailto:info@lordbaro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10988</Words>
  <Characters>6264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5</cp:revision>
  <dcterms:created xsi:type="dcterms:W3CDTF">2017-10-25T06:56:00Z</dcterms:created>
  <dcterms:modified xsi:type="dcterms:W3CDTF">2017-10-25T13:30:00Z</dcterms:modified>
</cp:coreProperties>
</file>