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E7" w:rsidRPr="00346401" w:rsidRDefault="00346401" w:rsidP="00966BE7">
      <w:pPr>
        <w:jc w:val="right"/>
        <w:rPr>
          <w:bCs/>
        </w:rPr>
      </w:pPr>
      <w:r w:rsidRPr="00346401">
        <w:rPr>
          <w:bCs/>
        </w:rPr>
        <w:t>P</w:t>
      </w:r>
      <w:r w:rsidR="00966BE7" w:rsidRPr="00346401">
        <w:rPr>
          <w:bCs/>
        </w:rPr>
        <w:t>ielikums</w:t>
      </w:r>
      <w:r w:rsidRPr="00346401">
        <w:rPr>
          <w:bCs/>
        </w:rPr>
        <w:t xml:space="preserve"> Nr.2.1</w:t>
      </w:r>
    </w:p>
    <w:p w:rsidR="00966BE7" w:rsidRPr="00346401" w:rsidRDefault="00966BE7" w:rsidP="00966BE7">
      <w:pPr>
        <w:jc w:val="right"/>
        <w:rPr>
          <w:bCs/>
        </w:rPr>
      </w:pPr>
      <w:r w:rsidRPr="00346401">
        <w:rPr>
          <w:bCs/>
        </w:rPr>
        <w:t>Nolikumam</w:t>
      </w:r>
    </w:p>
    <w:p w:rsidR="00966BE7" w:rsidRPr="00346401" w:rsidRDefault="00883ABA" w:rsidP="00966BE7">
      <w:pPr>
        <w:jc w:val="right"/>
      </w:pPr>
      <w:r>
        <w:rPr>
          <w:bCs/>
        </w:rPr>
        <w:t>ID Nr. RTU-20</w:t>
      </w:r>
      <w:r w:rsidR="00346401" w:rsidRPr="00346401">
        <w:rPr>
          <w:bCs/>
        </w:rPr>
        <w:t>17/102</w:t>
      </w:r>
    </w:p>
    <w:p w:rsidR="00966BE7" w:rsidRPr="00D51F93" w:rsidRDefault="00966BE7" w:rsidP="00966BE7">
      <w:pPr>
        <w:pStyle w:val="Index1"/>
      </w:pPr>
    </w:p>
    <w:p w:rsidR="00966BE7" w:rsidRPr="00356B28" w:rsidRDefault="00966BE7" w:rsidP="00346401">
      <w:pPr>
        <w:jc w:val="center"/>
      </w:pPr>
      <w:r>
        <w:rPr>
          <w:b/>
          <w:sz w:val="40"/>
          <w:szCs w:val="40"/>
        </w:rPr>
        <w:t xml:space="preserve">Pasūtītāja tehniskā specifikācija </w:t>
      </w:r>
    </w:p>
    <w:p w:rsidR="00966BE7" w:rsidRDefault="00966BE7" w:rsidP="00966BE7">
      <w:pPr>
        <w:jc w:val="both"/>
      </w:pPr>
    </w:p>
    <w:p w:rsidR="00346401" w:rsidRPr="00883ABA" w:rsidRDefault="00346401" w:rsidP="00883ABA">
      <w:pPr>
        <w:pStyle w:val="Index1"/>
      </w:pPr>
      <w:r>
        <w:t>Daļa Nr.1</w:t>
      </w:r>
      <w:r w:rsidR="00883ABA">
        <w:t>:</w:t>
      </w:r>
      <w:r>
        <w:t xml:space="preserve"> </w:t>
      </w:r>
      <w:r w:rsidR="00883ABA" w:rsidRPr="00883ABA">
        <w:rPr>
          <w:bCs/>
          <w:i/>
        </w:rPr>
        <w:t>Logu (PVC) izgatavošana, piegāde un montāža objektā: Daudzdzīvokļu ēka Saules ielā 4A, Cēsīs</w:t>
      </w:r>
      <w:r w:rsidR="00883ABA" w:rsidRPr="00883ABA">
        <w:t>.</w:t>
      </w:r>
    </w:p>
    <w:p w:rsidR="00966BE7" w:rsidRPr="00392EC2" w:rsidRDefault="00966BE7" w:rsidP="00966BE7">
      <w:pPr>
        <w:pStyle w:val="Index1"/>
        <w:jc w:val="righ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3543"/>
      </w:tblGrid>
      <w:tr w:rsidR="00966BE7" w:rsidRPr="004B45E3" w:rsidTr="0000083C">
        <w:trPr>
          <w:trHeight w:val="461"/>
        </w:trPr>
        <w:tc>
          <w:tcPr>
            <w:tcW w:w="709" w:type="dxa"/>
            <w:shd w:val="clear" w:color="auto" w:fill="D9D9D9"/>
          </w:tcPr>
          <w:p w:rsidR="00966BE7" w:rsidRPr="004B45E3" w:rsidRDefault="00966BE7" w:rsidP="0000083C">
            <w:pPr>
              <w:jc w:val="center"/>
              <w:rPr>
                <w:b/>
                <w:sz w:val="22"/>
                <w:szCs w:val="22"/>
              </w:rPr>
            </w:pPr>
            <w:r w:rsidRPr="004B45E3">
              <w:rPr>
                <w:b/>
                <w:sz w:val="22"/>
                <w:szCs w:val="22"/>
              </w:rPr>
              <w:t>Nr.</w:t>
            </w:r>
            <w:r w:rsidR="00A86A2A">
              <w:rPr>
                <w:b/>
                <w:sz w:val="22"/>
                <w:szCs w:val="22"/>
              </w:rPr>
              <w:t xml:space="preserve"> </w:t>
            </w:r>
            <w:r w:rsidRPr="004B45E3">
              <w:rPr>
                <w:b/>
                <w:sz w:val="22"/>
                <w:szCs w:val="22"/>
              </w:rPr>
              <w:t>p.k.</w:t>
            </w:r>
          </w:p>
        </w:tc>
        <w:tc>
          <w:tcPr>
            <w:tcW w:w="4820" w:type="dxa"/>
            <w:shd w:val="clear" w:color="auto" w:fill="D9D9D9"/>
          </w:tcPr>
          <w:p w:rsidR="00966BE7" w:rsidRPr="004B45E3" w:rsidRDefault="00966BE7" w:rsidP="0000083C">
            <w:pPr>
              <w:jc w:val="center"/>
              <w:rPr>
                <w:b/>
                <w:sz w:val="22"/>
                <w:szCs w:val="22"/>
              </w:rPr>
            </w:pPr>
            <w:r w:rsidRPr="004B45E3">
              <w:rPr>
                <w:b/>
                <w:sz w:val="22"/>
                <w:szCs w:val="22"/>
              </w:rPr>
              <w:t>Tehniskās specifikācija prasības</w:t>
            </w:r>
          </w:p>
        </w:tc>
        <w:tc>
          <w:tcPr>
            <w:tcW w:w="3543" w:type="dxa"/>
            <w:shd w:val="clear" w:color="auto" w:fill="D9D9D9"/>
          </w:tcPr>
          <w:p w:rsidR="00966BE7" w:rsidRPr="004B45E3" w:rsidRDefault="00966BE7" w:rsidP="0000083C">
            <w:pPr>
              <w:jc w:val="center"/>
              <w:rPr>
                <w:b/>
                <w:sz w:val="22"/>
                <w:szCs w:val="22"/>
              </w:rPr>
            </w:pPr>
            <w:r>
              <w:rPr>
                <w:b/>
                <w:sz w:val="22"/>
                <w:szCs w:val="22"/>
              </w:rPr>
              <w:t>Papildu informācija</w:t>
            </w:r>
          </w:p>
          <w:p w:rsidR="00966BE7" w:rsidRPr="004B45E3" w:rsidRDefault="00966BE7" w:rsidP="0000083C">
            <w:pPr>
              <w:pStyle w:val="Index1"/>
            </w:pPr>
          </w:p>
        </w:tc>
      </w:tr>
      <w:tr w:rsidR="00966BE7" w:rsidRPr="004B45E3" w:rsidTr="0000083C">
        <w:tc>
          <w:tcPr>
            <w:tcW w:w="709" w:type="dxa"/>
          </w:tcPr>
          <w:p w:rsidR="00966BE7" w:rsidRPr="00C35260" w:rsidRDefault="00966BE7" w:rsidP="00A86A2A">
            <w:pPr>
              <w:pStyle w:val="ListParagraph"/>
              <w:numPr>
                <w:ilvl w:val="0"/>
                <w:numId w:val="1"/>
              </w:numPr>
              <w:rPr>
                <w:sz w:val="22"/>
                <w:szCs w:val="22"/>
              </w:rPr>
            </w:pPr>
            <w:r w:rsidRPr="00C35260">
              <w:rPr>
                <w:sz w:val="22"/>
                <w:szCs w:val="22"/>
              </w:rPr>
              <w:t>1.</w:t>
            </w:r>
          </w:p>
        </w:tc>
        <w:tc>
          <w:tcPr>
            <w:tcW w:w="4820" w:type="dxa"/>
          </w:tcPr>
          <w:p w:rsidR="00966BE7" w:rsidRPr="00C35260" w:rsidRDefault="00966BE7" w:rsidP="0000083C">
            <w:pPr>
              <w:rPr>
                <w:sz w:val="22"/>
                <w:szCs w:val="22"/>
              </w:rPr>
            </w:pPr>
            <w:r w:rsidRPr="00C35260">
              <w:rPr>
                <w:sz w:val="22"/>
                <w:szCs w:val="22"/>
              </w:rPr>
              <w:t>Logu nomaiņa daudzdzīvokļu ēkai ar kadastra apzīmējumu 42010040532001 Cēsīs, Saules ielā 4A, LV-4101*</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C35260" w:rsidRDefault="00966BE7" w:rsidP="00A86A2A">
            <w:pPr>
              <w:pStyle w:val="ListParagraph"/>
              <w:numPr>
                <w:ilvl w:val="0"/>
                <w:numId w:val="1"/>
              </w:numPr>
              <w:rPr>
                <w:sz w:val="22"/>
                <w:szCs w:val="22"/>
              </w:rPr>
            </w:pPr>
            <w:r w:rsidRPr="00C35260">
              <w:rPr>
                <w:sz w:val="22"/>
                <w:szCs w:val="22"/>
              </w:rPr>
              <w:t>2.</w:t>
            </w:r>
          </w:p>
        </w:tc>
        <w:tc>
          <w:tcPr>
            <w:tcW w:w="4820" w:type="dxa"/>
          </w:tcPr>
          <w:p w:rsidR="00966BE7" w:rsidRPr="00C35260" w:rsidRDefault="00966BE7" w:rsidP="0000083C">
            <w:pPr>
              <w:tabs>
                <w:tab w:val="left" w:pos="1276"/>
              </w:tabs>
              <w:jc w:val="both"/>
              <w:rPr>
                <w:sz w:val="22"/>
                <w:szCs w:val="22"/>
              </w:rPr>
            </w:pPr>
            <w:r w:rsidRPr="00C35260">
              <w:rPr>
                <w:sz w:val="22"/>
                <w:szCs w:val="22"/>
              </w:rPr>
              <w:t>Darbu izpildes laiks: ne ilgāk kā 30 (trīsdesmit) dienu laikā no iepirkuma līguma noslēgšanas dienas līdz Darbu nodošanai Pasūtītājam</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C35260" w:rsidRDefault="00966BE7" w:rsidP="00A86A2A">
            <w:pPr>
              <w:pStyle w:val="ListParagraph"/>
              <w:numPr>
                <w:ilvl w:val="0"/>
                <w:numId w:val="1"/>
              </w:numPr>
              <w:rPr>
                <w:sz w:val="22"/>
                <w:szCs w:val="22"/>
              </w:rPr>
            </w:pPr>
            <w:r w:rsidRPr="00C35260">
              <w:rPr>
                <w:sz w:val="22"/>
                <w:szCs w:val="22"/>
              </w:rPr>
              <w:t>3.</w:t>
            </w:r>
          </w:p>
        </w:tc>
        <w:tc>
          <w:tcPr>
            <w:tcW w:w="4820" w:type="dxa"/>
          </w:tcPr>
          <w:p w:rsidR="00966BE7" w:rsidRPr="00C35260" w:rsidRDefault="00966BE7" w:rsidP="0000083C">
            <w:pPr>
              <w:tabs>
                <w:tab w:val="left" w:pos="1276"/>
              </w:tabs>
              <w:jc w:val="both"/>
              <w:rPr>
                <w:sz w:val="22"/>
                <w:szCs w:val="22"/>
              </w:rPr>
            </w:pPr>
            <w:r w:rsidRPr="00C35260">
              <w:rPr>
                <w:sz w:val="22"/>
                <w:szCs w:val="22"/>
              </w:rPr>
              <w:t>Darbu garantijas laiks ir vismaz 5 gadi no objekta nodošanas Pasūtītājam</w:t>
            </w:r>
            <w:bookmarkStart w:id="0" w:name="_GoBack"/>
            <w:bookmarkEnd w:id="0"/>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4.</w:t>
            </w:r>
          </w:p>
        </w:tc>
        <w:tc>
          <w:tcPr>
            <w:tcW w:w="4820" w:type="dxa"/>
          </w:tcPr>
          <w:p w:rsidR="00966BE7" w:rsidRPr="004B45E3" w:rsidRDefault="00966BE7" w:rsidP="0000083C">
            <w:pPr>
              <w:rPr>
                <w:sz w:val="22"/>
                <w:szCs w:val="22"/>
              </w:rPr>
            </w:pPr>
            <w:r w:rsidRPr="004B45E3">
              <w:rPr>
                <w:sz w:val="22"/>
                <w:szCs w:val="22"/>
              </w:rPr>
              <w:t>Logu materiāliem un izstrādājumam jāatbilst LBN standartiem, Pasūtītāja noteiktām prasībām un ES regulai 305/2011</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5.</w:t>
            </w:r>
          </w:p>
        </w:tc>
        <w:tc>
          <w:tcPr>
            <w:tcW w:w="4820" w:type="dxa"/>
          </w:tcPr>
          <w:p w:rsidR="00966BE7" w:rsidRPr="00333F5A" w:rsidRDefault="00966BE7" w:rsidP="00D53C78">
            <w:pPr>
              <w:jc w:val="both"/>
              <w:rPr>
                <w:sz w:val="22"/>
                <w:szCs w:val="22"/>
              </w:rPr>
            </w:pPr>
            <w:r w:rsidRPr="00333F5A">
              <w:rPr>
                <w:sz w:val="22"/>
                <w:szCs w:val="22"/>
              </w:rPr>
              <w:t>Būvuzņēmējam Darbi jāizpilda ar Latvijā sertificētiem, deklarētiem un kvalitatīviem materiāliem (vai citiem tādiem būvizstrādājumiem, materiāliem, kuru pielietošanu Darbu izpildes procesā pieļauj Latvijas Republikā spēkā esošie normatīvie akti) un saskaņā ar Nolikumu</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6.</w:t>
            </w:r>
          </w:p>
        </w:tc>
        <w:tc>
          <w:tcPr>
            <w:tcW w:w="4820" w:type="dxa"/>
          </w:tcPr>
          <w:p w:rsidR="00966BE7" w:rsidRPr="00333F5A" w:rsidRDefault="00966BE7" w:rsidP="00D53C78">
            <w:pPr>
              <w:jc w:val="both"/>
              <w:rPr>
                <w:sz w:val="22"/>
                <w:szCs w:val="22"/>
              </w:rPr>
            </w:pPr>
            <w:r w:rsidRPr="00333F5A">
              <w:rPr>
                <w:sz w:val="22"/>
                <w:szCs w:val="22"/>
              </w:rPr>
              <w:t>Būvuzņēmējs veic Darbus, nepārtraucot Pasūtītāja ikdienas darbību.</w:t>
            </w:r>
          </w:p>
        </w:tc>
        <w:tc>
          <w:tcPr>
            <w:tcW w:w="3543" w:type="dxa"/>
          </w:tcPr>
          <w:p w:rsidR="00966BE7" w:rsidRPr="004B45E3" w:rsidRDefault="00966BE7" w:rsidP="0000083C">
            <w:pPr>
              <w:rPr>
                <w:i/>
                <w:sz w:val="22"/>
                <w:szCs w:val="22"/>
              </w:rPr>
            </w:pPr>
            <w:r w:rsidRPr="004B45E3">
              <w:rPr>
                <w:i/>
                <w:sz w:val="22"/>
                <w:szCs w:val="22"/>
              </w:rPr>
              <w:t>&lt; Pretendents savā tehniskajā piedāvājumā apraksta pasākumu/darba procesu, kā tas nodrošinās Pasūtītāja nepārtrauktu darbību objektā, kur veicami noteiktie darbi &gt;</w:t>
            </w: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7.</w:t>
            </w:r>
          </w:p>
        </w:tc>
        <w:tc>
          <w:tcPr>
            <w:tcW w:w="4820" w:type="dxa"/>
          </w:tcPr>
          <w:p w:rsidR="00966BE7" w:rsidRPr="00333F5A" w:rsidRDefault="00966BE7" w:rsidP="00D53C78">
            <w:pPr>
              <w:jc w:val="both"/>
              <w:rPr>
                <w:sz w:val="22"/>
                <w:szCs w:val="22"/>
              </w:rPr>
            </w:pPr>
            <w:r w:rsidRPr="00333F5A">
              <w:rPr>
                <w:sz w:val="22"/>
                <w:szCs w:val="22"/>
              </w:rPr>
              <w:t>Pretendentam, iepirkuma līguma slēgšanas gadījumā jāveic Darba procesā radušos atkritumu savākšanu, pārkraušanu, šķirošanu un uzglabāšanu tam paredzētā laukumā un nogādāšanu un apglabāšanu atkritumu apglabāšanas poligonā</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8.</w:t>
            </w:r>
          </w:p>
        </w:tc>
        <w:tc>
          <w:tcPr>
            <w:tcW w:w="4820" w:type="dxa"/>
          </w:tcPr>
          <w:p w:rsidR="00966BE7" w:rsidRDefault="00966BE7" w:rsidP="00C35260">
            <w:pPr>
              <w:jc w:val="both"/>
              <w:rPr>
                <w:sz w:val="22"/>
                <w:szCs w:val="22"/>
              </w:rPr>
            </w:pPr>
            <w:r w:rsidRPr="00333F5A">
              <w:rPr>
                <w:sz w:val="22"/>
                <w:szCs w:val="22"/>
              </w:rPr>
              <w:t xml:space="preserve">Pirms </w:t>
            </w:r>
            <w:proofErr w:type="spellStart"/>
            <w:r w:rsidRPr="00333F5A">
              <w:rPr>
                <w:sz w:val="22"/>
                <w:szCs w:val="22"/>
              </w:rPr>
              <w:t>jauniebūvēto</w:t>
            </w:r>
            <w:proofErr w:type="spellEnd"/>
            <w:r w:rsidRPr="00333F5A">
              <w:rPr>
                <w:sz w:val="22"/>
                <w:szCs w:val="22"/>
              </w:rPr>
              <w:t xml:space="preserve"> logu, palodžu izgatavošanas izmēri jāprecizē uz vietas objektā, tos pārmērot</w:t>
            </w:r>
            <w:r>
              <w:rPr>
                <w:sz w:val="22"/>
                <w:szCs w:val="22"/>
              </w:rPr>
              <w:t>, un jāiesniedz Pasūtītājam uz apstiprināšanu. Tikai pēc saskaņojuma Darbi var tikt izpildīti.</w:t>
            </w:r>
          </w:p>
          <w:p w:rsidR="00966BE7" w:rsidRPr="004C4030" w:rsidRDefault="00966BE7" w:rsidP="0000083C">
            <w:pPr>
              <w:pStyle w:val="Index1"/>
            </w:pPr>
          </w:p>
        </w:tc>
        <w:tc>
          <w:tcPr>
            <w:tcW w:w="3543" w:type="dxa"/>
          </w:tcPr>
          <w:p w:rsidR="00966BE7" w:rsidRPr="004B45E3" w:rsidRDefault="00966BE7" w:rsidP="0000083C">
            <w:pPr>
              <w:rPr>
                <w:sz w:val="22"/>
                <w:szCs w:val="22"/>
              </w:rPr>
            </w:pPr>
          </w:p>
        </w:tc>
      </w:tr>
      <w:tr w:rsidR="00966BE7" w:rsidRPr="004B45E3" w:rsidTr="0000083C">
        <w:trPr>
          <w:trHeight w:val="406"/>
        </w:trPr>
        <w:tc>
          <w:tcPr>
            <w:tcW w:w="709" w:type="dxa"/>
          </w:tcPr>
          <w:p w:rsidR="00966BE7" w:rsidRPr="00A86A2A" w:rsidRDefault="00966BE7" w:rsidP="00A86A2A">
            <w:pPr>
              <w:ind w:left="360"/>
              <w:jc w:val="center"/>
              <w:rPr>
                <w:b/>
                <w:sz w:val="22"/>
                <w:szCs w:val="22"/>
              </w:rPr>
            </w:pPr>
          </w:p>
        </w:tc>
        <w:tc>
          <w:tcPr>
            <w:tcW w:w="4820" w:type="dxa"/>
          </w:tcPr>
          <w:p w:rsidR="00966BE7" w:rsidRPr="00333F5A" w:rsidRDefault="00966BE7" w:rsidP="0000083C">
            <w:pPr>
              <w:ind w:firstLine="34"/>
              <w:rPr>
                <w:b/>
                <w:sz w:val="22"/>
                <w:szCs w:val="22"/>
              </w:rPr>
            </w:pPr>
            <w:r w:rsidRPr="00333F5A">
              <w:rPr>
                <w:b/>
                <w:sz w:val="22"/>
                <w:szCs w:val="22"/>
              </w:rPr>
              <w:t>Prasības izstrādājumam:</w:t>
            </w:r>
          </w:p>
        </w:tc>
        <w:tc>
          <w:tcPr>
            <w:tcW w:w="3543" w:type="dxa"/>
          </w:tcPr>
          <w:p w:rsidR="00966BE7" w:rsidRPr="004B45E3" w:rsidRDefault="00966BE7" w:rsidP="0000083C">
            <w:pPr>
              <w:ind w:firstLine="567"/>
              <w:jc w:val="center"/>
              <w:rPr>
                <w:b/>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9.</w:t>
            </w:r>
          </w:p>
        </w:tc>
        <w:tc>
          <w:tcPr>
            <w:tcW w:w="4820" w:type="dxa"/>
          </w:tcPr>
          <w:p w:rsidR="00966BE7" w:rsidRPr="00333F5A" w:rsidRDefault="00966BE7" w:rsidP="0000083C">
            <w:pPr>
              <w:rPr>
                <w:sz w:val="22"/>
                <w:szCs w:val="22"/>
              </w:rPr>
            </w:pPr>
            <w:r w:rsidRPr="00333F5A">
              <w:rPr>
                <w:sz w:val="22"/>
                <w:szCs w:val="22"/>
              </w:rPr>
              <w:t>Verams atgāžams logs, aprīkots ar pieplūdes vārstu, vēja slodzes noturība EN 14351-1 C5/B5 vai ekvivalents</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lastRenderedPageBreak/>
              <w:t>10.</w:t>
            </w:r>
          </w:p>
        </w:tc>
        <w:tc>
          <w:tcPr>
            <w:tcW w:w="4820" w:type="dxa"/>
          </w:tcPr>
          <w:p w:rsidR="00966BE7" w:rsidRPr="00333F5A" w:rsidRDefault="00966BE7" w:rsidP="0000083C">
            <w:pPr>
              <w:rPr>
                <w:sz w:val="22"/>
                <w:szCs w:val="22"/>
              </w:rPr>
            </w:pPr>
            <w:r w:rsidRPr="00333F5A">
              <w:rPr>
                <w:sz w:val="22"/>
                <w:szCs w:val="22"/>
              </w:rPr>
              <w:t xml:space="preserve">Verams atgāžams logs, aprīkots ar pieplūdes vārstu, ūdens </w:t>
            </w:r>
            <w:proofErr w:type="spellStart"/>
            <w:r w:rsidRPr="00333F5A">
              <w:rPr>
                <w:sz w:val="22"/>
                <w:szCs w:val="22"/>
              </w:rPr>
              <w:t>necaurlaidība</w:t>
            </w:r>
            <w:proofErr w:type="spellEnd"/>
            <w:r w:rsidRPr="00333F5A">
              <w:rPr>
                <w:sz w:val="22"/>
                <w:szCs w:val="22"/>
              </w:rPr>
              <w:t xml:space="preserve"> EN 14351-1 1 klase 9A vai ekvivalents</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11.</w:t>
            </w:r>
          </w:p>
        </w:tc>
        <w:tc>
          <w:tcPr>
            <w:tcW w:w="4820" w:type="dxa"/>
          </w:tcPr>
          <w:p w:rsidR="00966BE7" w:rsidRPr="00333F5A" w:rsidRDefault="00966BE7" w:rsidP="0000083C">
            <w:pPr>
              <w:rPr>
                <w:sz w:val="22"/>
                <w:szCs w:val="22"/>
              </w:rPr>
            </w:pPr>
            <w:r w:rsidRPr="00333F5A">
              <w:rPr>
                <w:sz w:val="22"/>
                <w:szCs w:val="22"/>
              </w:rPr>
              <w:t xml:space="preserve"> </w:t>
            </w:r>
            <w:r w:rsidRPr="00333F5A">
              <w:rPr>
                <w:bCs/>
              </w:rPr>
              <w:t xml:space="preserve">Loga kopējais siltuma caurlaidības koeficients </w:t>
            </w:r>
            <w:proofErr w:type="spellStart"/>
            <w:r w:rsidRPr="00333F5A">
              <w:rPr>
                <w:bCs/>
              </w:rPr>
              <w:t>Uw</w:t>
            </w:r>
            <w:proofErr w:type="spellEnd"/>
            <w:r w:rsidRPr="00333F5A">
              <w:rPr>
                <w:bCs/>
              </w:rPr>
              <w:t xml:space="preserve"> ≤1,1 W/m²K</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13.</w:t>
            </w:r>
          </w:p>
        </w:tc>
        <w:tc>
          <w:tcPr>
            <w:tcW w:w="4820" w:type="dxa"/>
          </w:tcPr>
          <w:p w:rsidR="00966BE7" w:rsidRPr="00333F5A" w:rsidRDefault="00966BE7" w:rsidP="0000083C">
            <w:pPr>
              <w:rPr>
                <w:sz w:val="22"/>
                <w:szCs w:val="22"/>
              </w:rPr>
            </w:pPr>
            <w:r w:rsidRPr="00333F5A">
              <w:rPr>
                <w:sz w:val="22"/>
                <w:szCs w:val="22"/>
              </w:rPr>
              <w:t>Logu furnitūrai jābūt regulējamai, atgāžamai, veramai.</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14.</w:t>
            </w:r>
          </w:p>
        </w:tc>
        <w:tc>
          <w:tcPr>
            <w:tcW w:w="4820" w:type="dxa"/>
          </w:tcPr>
          <w:p w:rsidR="00966BE7" w:rsidRPr="00333F5A" w:rsidRDefault="00966BE7" w:rsidP="00D53C78">
            <w:pPr>
              <w:jc w:val="both"/>
              <w:rPr>
                <w:sz w:val="22"/>
                <w:szCs w:val="22"/>
              </w:rPr>
            </w:pPr>
            <w:r w:rsidRPr="00333F5A">
              <w:rPr>
                <w:sz w:val="22"/>
                <w:szCs w:val="22"/>
              </w:rPr>
              <w:t xml:space="preserve">Visos blīvējuma līmeņos blīvēm jābūt maināmām. Visas blīvējuma malas stūros ir sakausētas. Stikla blīvējumam no iekšpuses jābūt iestrādātam stikla līstē. PVC logu bloku  nostiprināšana logu ailēs  jāveic ar atzītām </w:t>
            </w:r>
            <w:proofErr w:type="spellStart"/>
            <w:r w:rsidRPr="00333F5A">
              <w:rPr>
                <w:sz w:val="22"/>
                <w:szCs w:val="22"/>
              </w:rPr>
              <w:t>dībeļu</w:t>
            </w:r>
            <w:proofErr w:type="spellEnd"/>
            <w:r w:rsidRPr="00333F5A">
              <w:rPr>
                <w:sz w:val="22"/>
                <w:szCs w:val="22"/>
              </w:rPr>
              <w:t xml:space="preserve"> sistēmām attiecīgajam būves konstruktīvajam elementam. Attālumi  starp stiprinājumiem nedrīkst pārsniegt 700</w:t>
            </w:r>
            <w:r w:rsidR="00346401">
              <w:rPr>
                <w:sz w:val="22"/>
                <w:szCs w:val="22"/>
              </w:rPr>
              <w:t xml:space="preserve"> </w:t>
            </w:r>
            <w:r w:rsidRPr="00333F5A">
              <w:rPr>
                <w:sz w:val="22"/>
                <w:szCs w:val="22"/>
              </w:rPr>
              <w:t>mm.</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15.</w:t>
            </w:r>
          </w:p>
        </w:tc>
        <w:tc>
          <w:tcPr>
            <w:tcW w:w="4820" w:type="dxa"/>
          </w:tcPr>
          <w:p w:rsidR="00966BE7" w:rsidRPr="00333F5A" w:rsidRDefault="00966BE7" w:rsidP="00D53C78">
            <w:pPr>
              <w:jc w:val="both"/>
              <w:rPr>
                <w:sz w:val="22"/>
                <w:szCs w:val="22"/>
              </w:rPr>
            </w:pPr>
            <w:r w:rsidRPr="00333F5A">
              <w:rPr>
                <w:sz w:val="22"/>
                <w:szCs w:val="22"/>
              </w:rPr>
              <w:t>Logu bloki montējot ir jālīmeņo. Vertikālās un horizontālās novirzes  nedrīkst  pārsniegt 1.5</w:t>
            </w:r>
            <w:r w:rsidR="00346401">
              <w:rPr>
                <w:sz w:val="22"/>
                <w:szCs w:val="22"/>
              </w:rPr>
              <w:t xml:space="preserve"> </w:t>
            </w:r>
            <w:r w:rsidRPr="00333F5A">
              <w:rPr>
                <w:sz w:val="22"/>
                <w:szCs w:val="22"/>
              </w:rPr>
              <w:t>mm uz 1</w:t>
            </w:r>
            <w:r w:rsidR="00346401">
              <w:rPr>
                <w:sz w:val="22"/>
                <w:szCs w:val="22"/>
              </w:rPr>
              <w:t xml:space="preserve"> </w:t>
            </w:r>
            <w:r w:rsidRPr="00333F5A">
              <w:rPr>
                <w:sz w:val="22"/>
                <w:szCs w:val="22"/>
              </w:rPr>
              <w:t>m</w:t>
            </w:r>
          </w:p>
        </w:tc>
        <w:tc>
          <w:tcPr>
            <w:tcW w:w="3543" w:type="dxa"/>
          </w:tcPr>
          <w:p w:rsidR="00966BE7" w:rsidRPr="004B45E3" w:rsidRDefault="00966BE7" w:rsidP="0000083C">
            <w:pPr>
              <w:rPr>
                <w:sz w:val="22"/>
                <w:szCs w:val="22"/>
              </w:rPr>
            </w:pPr>
          </w:p>
        </w:tc>
      </w:tr>
      <w:tr w:rsidR="00966BE7" w:rsidRPr="004B45E3" w:rsidTr="0000083C">
        <w:tc>
          <w:tcPr>
            <w:tcW w:w="709" w:type="dxa"/>
          </w:tcPr>
          <w:p w:rsidR="00966BE7" w:rsidRPr="00A86A2A" w:rsidRDefault="00966BE7" w:rsidP="00A86A2A">
            <w:pPr>
              <w:pStyle w:val="ListParagraph"/>
              <w:numPr>
                <w:ilvl w:val="0"/>
                <w:numId w:val="1"/>
              </w:numPr>
              <w:rPr>
                <w:sz w:val="22"/>
                <w:szCs w:val="22"/>
              </w:rPr>
            </w:pPr>
            <w:r w:rsidRPr="00A86A2A">
              <w:rPr>
                <w:sz w:val="22"/>
                <w:szCs w:val="22"/>
              </w:rPr>
              <w:t>16.</w:t>
            </w:r>
          </w:p>
        </w:tc>
        <w:tc>
          <w:tcPr>
            <w:tcW w:w="4820" w:type="dxa"/>
          </w:tcPr>
          <w:p w:rsidR="00966BE7" w:rsidRPr="00333F5A" w:rsidRDefault="00966BE7" w:rsidP="00D53C78">
            <w:pPr>
              <w:jc w:val="both"/>
              <w:rPr>
                <w:sz w:val="22"/>
                <w:szCs w:val="22"/>
              </w:rPr>
            </w:pPr>
            <w:r w:rsidRPr="00333F5A">
              <w:rPr>
                <w:sz w:val="22"/>
                <w:szCs w:val="22"/>
              </w:rPr>
              <w:t>Montāžas šuves aizpildījuma siltumizolācijas  materiāls  jānodrošina ar hidroizolācijas  un tvaika  izolācijas  montāžas lentām</w:t>
            </w:r>
          </w:p>
        </w:tc>
        <w:tc>
          <w:tcPr>
            <w:tcW w:w="3543" w:type="dxa"/>
          </w:tcPr>
          <w:p w:rsidR="00966BE7" w:rsidRPr="004B45E3" w:rsidRDefault="00966BE7" w:rsidP="0000083C">
            <w:pPr>
              <w:rPr>
                <w:sz w:val="22"/>
                <w:szCs w:val="22"/>
              </w:rPr>
            </w:pPr>
          </w:p>
        </w:tc>
      </w:tr>
    </w:tbl>
    <w:p w:rsidR="00966BE7" w:rsidRDefault="00966BE7" w:rsidP="00346401">
      <w:pPr>
        <w:jc w:val="both"/>
        <w:rPr>
          <w:sz w:val="22"/>
          <w:szCs w:val="22"/>
          <w:lang w:val="en-US"/>
        </w:rPr>
      </w:pPr>
      <w:r>
        <w:t>*</w:t>
      </w:r>
      <w:proofErr w:type="spellStart"/>
      <w:r>
        <w:t>Daudzzīvokļu</w:t>
      </w:r>
      <w:proofErr w:type="spellEnd"/>
      <w:r>
        <w:t xml:space="preserve"> ēkas ar kadastra apzīmējumu 42010040532001 Cēsīs, Saules ielā 4A, lv-4101 </w:t>
      </w:r>
      <w:proofErr w:type="spellStart"/>
      <w:r>
        <w:t>fotofiksācija</w:t>
      </w:r>
      <w:proofErr w:type="spellEnd"/>
      <w:r>
        <w:t xml:space="preserve"> pieejama Pielikumā Nr. 10 “</w:t>
      </w:r>
      <w:r w:rsidRPr="009579AF">
        <w:rPr>
          <w:b/>
        </w:rPr>
        <w:t xml:space="preserve">Ēkas fasādes </w:t>
      </w:r>
      <w:proofErr w:type="spellStart"/>
      <w:r w:rsidRPr="009579AF">
        <w:rPr>
          <w:b/>
        </w:rPr>
        <w:t>fotofiksācija</w:t>
      </w:r>
      <w:proofErr w:type="spellEnd"/>
      <w:r>
        <w:rPr>
          <w:b/>
        </w:rPr>
        <w:t xml:space="preserve">” un 3D modelis pieejams: </w:t>
      </w:r>
      <w:hyperlink r:id="rId7" w:anchor="%2F" w:history="1">
        <w:r>
          <w:rPr>
            <w:rStyle w:val="Hyperlink"/>
            <w:lang w:val="en-US"/>
          </w:rPr>
          <w:t>http://demo.mikrokods.lv/Saules_iela_4a_3mx/App/index.html#%2F</w:t>
        </w:r>
      </w:hyperlink>
    </w:p>
    <w:p w:rsidR="00966BE7" w:rsidRDefault="00966BE7" w:rsidP="00966BE7">
      <w:pPr>
        <w:pStyle w:val="Index1"/>
      </w:pPr>
    </w:p>
    <w:p w:rsidR="00966BE7" w:rsidRPr="003A780D" w:rsidRDefault="00966BE7" w:rsidP="00966BE7"/>
    <w:p w:rsidR="00966BE7" w:rsidRDefault="00966BE7" w:rsidP="00966BE7"/>
    <w:p w:rsidR="00966BE7" w:rsidRPr="00E43C41" w:rsidRDefault="00966BE7" w:rsidP="00966BE7">
      <w:pPr>
        <w:pStyle w:val="Index1"/>
      </w:pPr>
    </w:p>
    <w:p w:rsidR="00966BE7" w:rsidRDefault="00966BE7" w:rsidP="00966BE7"/>
    <w:p w:rsidR="00966BE7" w:rsidRDefault="00966BE7" w:rsidP="00966BE7">
      <w:pPr>
        <w:pStyle w:val="Index1"/>
      </w:pPr>
    </w:p>
    <w:p w:rsidR="00966BE7" w:rsidRDefault="00966BE7" w:rsidP="00966BE7"/>
    <w:p w:rsidR="00966BE7" w:rsidRDefault="00966BE7" w:rsidP="00966BE7">
      <w:pPr>
        <w:pStyle w:val="Index1"/>
      </w:pPr>
    </w:p>
    <w:p w:rsidR="00966BE7" w:rsidRPr="00BD0E20" w:rsidRDefault="00966BE7" w:rsidP="00966BE7"/>
    <w:p w:rsidR="00966BE7" w:rsidRPr="00E33CD5" w:rsidRDefault="00966BE7" w:rsidP="00966BE7">
      <w:pPr>
        <w:pStyle w:val="Index1"/>
      </w:pPr>
    </w:p>
    <w:p w:rsidR="00E227B6" w:rsidRDefault="00C35260" w:rsidP="00966BE7"/>
    <w:sectPr w:rsidR="00E227B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87" w:rsidRDefault="002D3387" w:rsidP="002D3387">
      <w:r>
        <w:separator/>
      </w:r>
    </w:p>
  </w:endnote>
  <w:endnote w:type="continuationSeparator" w:id="0">
    <w:p w:rsidR="002D3387" w:rsidRDefault="002D3387" w:rsidP="002D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511179"/>
      <w:docPartObj>
        <w:docPartGallery w:val="Page Numbers (Bottom of Page)"/>
        <w:docPartUnique/>
      </w:docPartObj>
    </w:sdtPr>
    <w:sdtEndPr>
      <w:rPr>
        <w:noProof/>
      </w:rPr>
    </w:sdtEndPr>
    <w:sdtContent>
      <w:p w:rsidR="002D3387" w:rsidRDefault="002D3387">
        <w:pPr>
          <w:pStyle w:val="Footer"/>
          <w:jc w:val="right"/>
        </w:pPr>
        <w:r>
          <w:fldChar w:fldCharType="begin"/>
        </w:r>
        <w:r>
          <w:instrText xml:space="preserve"> PAGE   \* MERGEFORMAT </w:instrText>
        </w:r>
        <w:r>
          <w:fldChar w:fldCharType="separate"/>
        </w:r>
        <w:r w:rsidR="00C35260">
          <w:rPr>
            <w:noProof/>
          </w:rPr>
          <w:t>1</w:t>
        </w:r>
        <w:r>
          <w:rPr>
            <w:noProof/>
          </w:rPr>
          <w:fldChar w:fldCharType="end"/>
        </w:r>
      </w:p>
    </w:sdtContent>
  </w:sdt>
  <w:p w:rsidR="002D3387" w:rsidRDefault="002D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87" w:rsidRDefault="002D3387" w:rsidP="002D3387">
      <w:r>
        <w:separator/>
      </w:r>
    </w:p>
  </w:footnote>
  <w:footnote w:type="continuationSeparator" w:id="0">
    <w:p w:rsidR="002D3387" w:rsidRDefault="002D3387" w:rsidP="002D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5302"/>
    <w:multiLevelType w:val="hybridMultilevel"/>
    <w:tmpl w:val="92928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E7"/>
    <w:rsid w:val="00086FD8"/>
    <w:rsid w:val="002D3387"/>
    <w:rsid w:val="00346401"/>
    <w:rsid w:val="00883ABA"/>
    <w:rsid w:val="00966BE7"/>
    <w:rsid w:val="00A86A2A"/>
    <w:rsid w:val="00AA046A"/>
    <w:rsid w:val="00C35260"/>
    <w:rsid w:val="00D53C78"/>
    <w:rsid w:val="00F70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B69C-9E83-4623-857D-0A90545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966BE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966BE7"/>
    <w:pPr>
      <w:ind w:left="567" w:hanging="567"/>
      <w:jc w:val="both"/>
    </w:pPr>
  </w:style>
  <w:style w:type="character" w:styleId="Hyperlink">
    <w:name w:val="Hyperlink"/>
    <w:uiPriority w:val="99"/>
    <w:rsid w:val="00966BE7"/>
    <w:rPr>
      <w:rFonts w:cs="Times New Roman"/>
      <w:color w:val="0000FF"/>
      <w:u w:val="single"/>
    </w:rPr>
  </w:style>
  <w:style w:type="paragraph" w:styleId="ListParagraph">
    <w:name w:val="List Paragraph"/>
    <w:basedOn w:val="Normal"/>
    <w:uiPriority w:val="34"/>
    <w:qFormat/>
    <w:rsid w:val="00A86A2A"/>
    <w:pPr>
      <w:ind w:left="720"/>
      <w:contextualSpacing/>
    </w:pPr>
  </w:style>
  <w:style w:type="paragraph" w:styleId="Header">
    <w:name w:val="header"/>
    <w:basedOn w:val="Normal"/>
    <w:link w:val="HeaderChar"/>
    <w:uiPriority w:val="99"/>
    <w:unhideWhenUsed/>
    <w:rsid w:val="002D3387"/>
    <w:pPr>
      <w:tabs>
        <w:tab w:val="center" w:pos="4320"/>
        <w:tab w:val="right" w:pos="8640"/>
      </w:tabs>
    </w:pPr>
  </w:style>
  <w:style w:type="character" w:customStyle="1" w:styleId="HeaderChar">
    <w:name w:val="Header Char"/>
    <w:basedOn w:val="DefaultParagraphFont"/>
    <w:link w:val="Header"/>
    <w:uiPriority w:val="99"/>
    <w:rsid w:val="002D338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3387"/>
    <w:pPr>
      <w:tabs>
        <w:tab w:val="center" w:pos="4320"/>
        <w:tab w:val="right" w:pos="8640"/>
      </w:tabs>
    </w:pPr>
  </w:style>
  <w:style w:type="character" w:customStyle="1" w:styleId="FooterChar">
    <w:name w:val="Footer Char"/>
    <w:basedOn w:val="DefaultParagraphFont"/>
    <w:link w:val="Footer"/>
    <w:uiPriority w:val="99"/>
    <w:rsid w:val="002D338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mo.mikrokods.lv/Saules_iela_4a_3mx/Ap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1869</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dcterms:created xsi:type="dcterms:W3CDTF">2017-10-16T12:37:00Z</dcterms:created>
  <dcterms:modified xsi:type="dcterms:W3CDTF">2017-10-17T13:59:00Z</dcterms:modified>
</cp:coreProperties>
</file>