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B154D4" w:rsidRDefault="003875A4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Iepirkuma</w:t>
      </w:r>
      <w:r w:rsidR="00677F1D" w:rsidRPr="00B154D4">
        <w:rPr>
          <w:rFonts w:ascii="Arial" w:eastAsia="Times New Roman" w:hAnsi="Arial" w:cs="Arial"/>
          <w:lang w:val="lv-LV" w:eastAsia="lv-LV"/>
        </w:rPr>
        <w:t xml:space="preserve"> Publisko iepirkumu likuma 9.panta kārtībā</w:t>
      </w:r>
    </w:p>
    <w:p w:rsidR="00953CAA" w:rsidRPr="00B154D4" w:rsidRDefault="00953CAA" w:rsidP="00504E24">
      <w:pPr>
        <w:jc w:val="center"/>
        <w:rPr>
          <w:rFonts w:ascii="Arial" w:eastAsia="Times New Roman" w:hAnsi="Arial" w:cs="Arial"/>
          <w:b/>
          <w:lang w:val="lv-LV" w:eastAsia="lv-LV"/>
        </w:rPr>
      </w:pPr>
      <w:r w:rsidRPr="00B154D4">
        <w:rPr>
          <w:rFonts w:ascii="Arial" w:eastAsia="Times New Roman" w:hAnsi="Arial" w:cs="Arial"/>
          <w:b/>
          <w:lang w:val="lv-LV" w:eastAsia="lv-LV"/>
        </w:rPr>
        <w:t>“</w:t>
      </w:r>
      <w:r w:rsidR="00021D48">
        <w:rPr>
          <w:rFonts w:ascii="Arial" w:eastAsia="Times New Roman" w:hAnsi="Arial" w:cs="Arial"/>
          <w:b/>
          <w:bCs/>
          <w:lang w:val="lv-LV" w:eastAsia="lv-LV"/>
        </w:rPr>
        <w:t>L</w:t>
      </w:r>
      <w:r w:rsidR="00021D48" w:rsidRPr="00021D48">
        <w:rPr>
          <w:rFonts w:ascii="Arial" w:eastAsia="Times New Roman" w:hAnsi="Arial" w:cs="Arial"/>
          <w:b/>
          <w:bCs/>
          <w:lang w:val="lv-LV" w:eastAsia="lv-LV"/>
        </w:rPr>
        <w:t>ogu izgatavošana, piegāde un montāža</w:t>
      </w:r>
      <w:r w:rsidRPr="00B154D4">
        <w:rPr>
          <w:rFonts w:ascii="Arial" w:eastAsia="Times New Roman" w:hAnsi="Arial" w:cs="Arial"/>
          <w:b/>
          <w:lang w:val="lv-LV" w:eastAsia="lv-LV"/>
        </w:rPr>
        <w:t>”</w:t>
      </w:r>
    </w:p>
    <w:p w:rsidR="003875A4" w:rsidRPr="00B154D4" w:rsidRDefault="006B3182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ID: RTU – 2017</w:t>
      </w:r>
      <w:r w:rsidR="00953CAA" w:rsidRPr="00B154D4">
        <w:rPr>
          <w:rFonts w:ascii="Arial" w:eastAsia="Times New Roman" w:hAnsi="Arial" w:cs="Arial"/>
          <w:lang w:val="lv-LV" w:eastAsia="lv-LV"/>
        </w:rPr>
        <w:t>/</w:t>
      </w:r>
      <w:r w:rsidR="00021D48">
        <w:rPr>
          <w:rFonts w:ascii="Arial" w:eastAsia="Times New Roman" w:hAnsi="Arial" w:cs="Arial"/>
          <w:lang w:val="lv-LV" w:eastAsia="lv-LV"/>
        </w:rPr>
        <w:t>102</w:t>
      </w:r>
    </w:p>
    <w:p w:rsidR="00560FB6" w:rsidRPr="0074463B" w:rsidRDefault="00064B7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21D48" w:rsidRDefault="00021D48" w:rsidP="00504E24">
      <w:pPr>
        <w:rPr>
          <w:rFonts w:ascii="Times New Roman" w:hAnsi="Times New Roman"/>
          <w:bCs/>
          <w:lang w:val="lv-LV"/>
        </w:rPr>
      </w:pP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64B7A" w:rsidRDefault="00194B15" w:rsidP="00504E24">
      <w:pPr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Rīgā, 201</w:t>
      </w:r>
      <w:r w:rsidR="006B3182" w:rsidRPr="00B154D4">
        <w:rPr>
          <w:rFonts w:ascii="Arial" w:eastAsia="Times New Roman" w:hAnsi="Arial" w:cs="Arial"/>
          <w:lang w:val="lv-LV" w:eastAsia="lv-LV"/>
        </w:rPr>
        <w:t>7</w:t>
      </w:r>
      <w:r w:rsidR="00064B7A" w:rsidRPr="00B154D4">
        <w:rPr>
          <w:rFonts w:ascii="Arial" w:eastAsia="Times New Roman" w:hAnsi="Arial" w:cs="Arial"/>
          <w:lang w:val="lv-LV" w:eastAsia="lv-LV"/>
        </w:rPr>
        <w:t xml:space="preserve">. gada </w:t>
      </w:r>
      <w:r w:rsidR="0004148B">
        <w:rPr>
          <w:rFonts w:ascii="Arial" w:eastAsia="Times New Roman" w:hAnsi="Arial" w:cs="Arial"/>
          <w:lang w:val="lv-LV" w:eastAsia="lv-LV"/>
        </w:rPr>
        <w:t>7</w:t>
      </w:r>
      <w:r w:rsidR="00064B7A" w:rsidRPr="00B154D4">
        <w:rPr>
          <w:rFonts w:ascii="Arial" w:eastAsia="Times New Roman" w:hAnsi="Arial" w:cs="Arial"/>
          <w:lang w:val="lv-LV" w:eastAsia="lv-LV"/>
        </w:rPr>
        <w:t>.</w:t>
      </w:r>
      <w:r w:rsidR="00B154D4">
        <w:rPr>
          <w:rFonts w:ascii="Arial" w:eastAsia="Times New Roman" w:hAnsi="Arial" w:cs="Arial"/>
          <w:lang w:val="lv-LV" w:eastAsia="lv-LV"/>
        </w:rPr>
        <w:t xml:space="preserve"> </w:t>
      </w:r>
      <w:r w:rsidR="0004148B">
        <w:rPr>
          <w:rFonts w:ascii="Arial" w:eastAsia="Times New Roman" w:hAnsi="Arial" w:cs="Arial"/>
          <w:lang w:val="lv-LV" w:eastAsia="lv-LV"/>
        </w:rPr>
        <w:t>decembrī</w:t>
      </w:r>
    </w:p>
    <w:p w:rsidR="00021D48" w:rsidRPr="00B154D4" w:rsidRDefault="00021D48" w:rsidP="00504E24">
      <w:pPr>
        <w:rPr>
          <w:rFonts w:ascii="Arial" w:eastAsia="Times New Roman" w:hAnsi="Arial" w:cs="Arial"/>
          <w:lang w:val="lv-LV" w:eastAsia="lv-LV"/>
        </w:rPr>
      </w:pP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21D48" w:rsidRPr="0074463B" w:rsidRDefault="00021D48" w:rsidP="00504E24">
      <w:pPr>
        <w:rPr>
          <w:rFonts w:ascii="Times New Roman" w:hAnsi="Times New Roman"/>
          <w:bCs/>
          <w:lang w:val="lv-LV"/>
        </w:rPr>
      </w:pP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756DF5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756DF5">
        <w:rPr>
          <w:rFonts w:ascii="Arial" w:eastAsia="Times New Roman" w:hAnsi="Arial" w:cs="Arial"/>
          <w:lang w:val="lv-LV" w:eastAsia="lv-LV"/>
        </w:rPr>
        <w:t>Rīgas Tehniskā universitāte, izglītības iestādes reģistrācijas Nr.3341000709.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Pr="00756DF5">
        <w:rPr>
          <w:rFonts w:ascii="Arial" w:eastAsia="Times New Roman" w:hAnsi="Arial" w:cs="Arial"/>
          <w:bCs/>
          <w:lang w:val="lv-LV" w:eastAsia="lv-LV"/>
        </w:rPr>
        <w:t>Logu (PVC) izgatavošana, piegāde un montāža objektā: Daudzdzīvokļu ēka Saules ielā 4A, Cēsīs.</w:t>
      </w:r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 </w:t>
      </w:r>
      <w:r w:rsidRPr="00756DF5">
        <w:rPr>
          <w:rFonts w:ascii="Arial" w:eastAsia="Times New Roman" w:hAnsi="Arial" w:cs="Arial"/>
          <w:bCs/>
          <w:lang w:val="lv-LV" w:eastAsia="lv-LV"/>
        </w:rPr>
        <w:t>Iepirkums tiek organizēts, realizējot H2020 projektu “Inovatīvu un daudzfunkcionālu ēku saliekamo konstrukciju elementu izstrāde un ražošana ēku moduļu modernizācijai un savienojumiem”.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proofErr w:type="spellStart"/>
      <w:r w:rsidRPr="00756DF5">
        <w:rPr>
          <w:rFonts w:ascii="Arial" w:eastAsia="Times New Roman" w:hAnsi="Arial" w:cs="Arial"/>
          <w:b/>
          <w:bCs/>
          <w:lang w:val="en-GB"/>
        </w:rPr>
        <w:t>Identifikācijas</w:t>
      </w:r>
      <w:proofErr w:type="spellEnd"/>
      <w:r w:rsidRPr="00756DF5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56DF5">
        <w:rPr>
          <w:rFonts w:ascii="Arial" w:eastAsia="Times New Roman" w:hAnsi="Arial" w:cs="Arial"/>
          <w:b/>
          <w:bCs/>
          <w:lang w:val="en-GB"/>
        </w:rPr>
        <w:t>numurs</w:t>
      </w:r>
      <w:proofErr w:type="spellEnd"/>
      <w:r w:rsidRPr="00756DF5">
        <w:rPr>
          <w:rFonts w:ascii="Arial" w:eastAsia="Times New Roman" w:hAnsi="Arial" w:cs="Arial"/>
          <w:b/>
          <w:bCs/>
          <w:lang w:val="en-GB"/>
        </w:rPr>
        <w:t>:</w:t>
      </w:r>
      <w:r w:rsidRPr="00756DF5">
        <w:rPr>
          <w:rFonts w:ascii="Arial" w:eastAsia="Times New Roman" w:hAnsi="Arial" w:cs="Arial"/>
          <w:bCs/>
          <w:lang w:val="en-GB"/>
        </w:rPr>
        <w:t xml:space="preserve"> RTU – 2017/102.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56DF5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56DF5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756DF5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Pr="00756DF5">
        <w:rPr>
          <w:rFonts w:ascii="Arial" w:eastAsia="Times New Roman" w:hAnsi="Arial" w:cs="Arial"/>
          <w:bCs/>
          <w:lang w:val="lv-LV" w:eastAsia="lv-LV"/>
        </w:rPr>
        <w:t>30.08.2017.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756DF5">
        <w:rPr>
          <w:rFonts w:ascii="Arial" w:eastAsia="Times New Roman" w:hAnsi="Arial" w:cs="Arial"/>
          <w:bCs/>
          <w:lang w:val="lv-LV" w:eastAsia="lv-LV"/>
        </w:rPr>
        <w:t xml:space="preserve">ar Rīgas Tehniskās universitātes rektora </w:t>
      </w:r>
      <w:r w:rsidRPr="00756DF5">
        <w:rPr>
          <w:rFonts w:ascii="Arial" w:eastAsia="Times New Roman" w:hAnsi="Arial" w:cs="Arial"/>
          <w:bCs/>
          <w:lang w:eastAsia="lv-LV"/>
        </w:rPr>
        <w:t xml:space="preserve">2017. </w:t>
      </w:r>
      <w:proofErr w:type="spellStart"/>
      <w:proofErr w:type="gramStart"/>
      <w:r w:rsidRPr="00756DF5">
        <w:rPr>
          <w:rFonts w:ascii="Arial" w:eastAsia="Times New Roman" w:hAnsi="Arial" w:cs="Arial"/>
          <w:bCs/>
          <w:lang w:eastAsia="lv-LV"/>
        </w:rPr>
        <w:t>gada</w:t>
      </w:r>
      <w:proofErr w:type="spellEnd"/>
      <w:proofErr w:type="gramEnd"/>
      <w:r w:rsidRPr="00756DF5">
        <w:rPr>
          <w:rFonts w:ascii="Arial" w:eastAsia="Times New Roman" w:hAnsi="Arial" w:cs="Arial"/>
          <w:bCs/>
          <w:lang w:eastAsia="lv-LV"/>
        </w:rPr>
        <w:t xml:space="preserve"> 13. </w:t>
      </w:r>
      <w:proofErr w:type="spellStart"/>
      <w:proofErr w:type="gramStart"/>
      <w:r w:rsidRPr="00756DF5">
        <w:rPr>
          <w:rFonts w:ascii="Arial" w:eastAsia="Times New Roman" w:hAnsi="Arial" w:cs="Arial"/>
          <w:bCs/>
          <w:lang w:eastAsia="lv-LV"/>
        </w:rPr>
        <w:t>oktobra</w:t>
      </w:r>
      <w:proofErr w:type="spellEnd"/>
      <w:proofErr w:type="gramEnd"/>
      <w:r w:rsidRPr="00756DF5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eastAsia="lv-LV"/>
        </w:rPr>
        <w:t>rīkojumu</w:t>
      </w:r>
      <w:proofErr w:type="spellEnd"/>
      <w:r w:rsidRPr="00756DF5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756DF5">
        <w:rPr>
          <w:rFonts w:ascii="Arial" w:eastAsia="Times New Roman" w:hAnsi="Arial" w:cs="Arial"/>
          <w:bCs/>
          <w:lang w:eastAsia="lv-LV"/>
        </w:rPr>
        <w:t xml:space="preserve">. 03000-1.2/115 un </w:t>
      </w:r>
      <w:proofErr w:type="spellStart"/>
      <w:r w:rsidRPr="00756DF5">
        <w:rPr>
          <w:rFonts w:ascii="Arial" w:eastAsia="Times New Roman" w:hAnsi="Arial" w:cs="Arial"/>
          <w:bCs/>
          <w:lang w:eastAsia="lv-LV"/>
        </w:rPr>
        <w:t>finanšu</w:t>
      </w:r>
      <w:proofErr w:type="spellEnd"/>
      <w:r w:rsidRPr="00756DF5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eastAsia="lv-LV"/>
        </w:rPr>
        <w:t>prorektora</w:t>
      </w:r>
      <w:proofErr w:type="spellEnd"/>
      <w:r w:rsidRPr="00756DF5">
        <w:rPr>
          <w:rFonts w:ascii="Arial" w:eastAsia="Times New Roman" w:hAnsi="Arial" w:cs="Arial"/>
          <w:bCs/>
          <w:lang w:eastAsia="lv-LV"/>
        </w:rPr>
        <w:t xml:space="preserve"> 2017. </w:t>
      </w:r>
      <w:proofErr w:type="spellStart"/>
      <w:proofErr w:type="gramStart"/>
      <w:r w:rsidRPr="00756DF5">
        <w:rPr>
          <w:rFonts w:ascii="Arial" w:eastAsia="Times New Roman" w:hAnsi="Arial" w:cs="Arial"/>
          <w:bCs/>
          <w:lang w:eastAsia="lv-LV"/>
        </w:rPr>
        <w:t>gada</w:t>
      </w:r>
      <w:proofErr w:type="spellEnd"/>
      <w:proofErr w:type="gramEnd"/>
      <w:r w:rsidRPr="00756DF5">
        <w:rPr>
          <w:rFonts w:ascii="Arial" w:eastAsia="Times New Roman" w:hAnsi="Arial" w:cs="Arial"/>
          <w:bCs/>
          <w:lang w:eastAsia="lv-LV"/>
        </w:rPr>
        <w:t xml:space="preserve"> 19. </w:t>
      </w:r>
      <w:proofErr w:type="spellStart"/>
      <w:proofErr w:type="gramStart"/>
      <w:r w:rsidRPr="00756DF5">
        <w:rPr>
          <w:rFonts w:ascii="Arial" w:eastAsia="Times New Roman" w:hAnsi="Arial" w:cs="Arial"/>
          <w:bCs/>
          <w:lang w:eastAsia="lv-LV"/>
        </w:rPr>
        <w:t>oktobra</w:t>
      </w:r>
      <w:proofErr w:type="spellEnd"/>
      <w:proofErr w:type="gramEnd"/>
      <w:r w:rsidRPr="00756DF5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eastAsia="lv-LV"/>
        </w:rPr>
        <w:t>rīkojumu</w:t>
      </w:r>
      <w:proofErr w:type="spellEnd"/>
      <w:r w:rsidRPr="00756DF5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756DF5">
        <w:rPr>
          <w:rFonts w:ascii="Arial" w:eastAsia="Times New Roman" w:hAnsi="Arial" w:cs="Arial"/>
          <w:bCs/>
          <w:lang w:eastAsia="lv-LV"/>
        </w:rPr>
        <w:t>. 03000-1.2/117</w:t>
      </w:r>
      <w:r w:rsidRPr="00756DF5">
        <w:rPr>
          <w:rFonts w:ascii="Arial" w:eastAsia="Times New Roman" w:hAnsi="Arial" w:cs="Arial"/>
          <w:bCs/>
          <w:lang w:val="lv-LV" w:eastAsia="lv-LV"/>
        </w:rPr>
        <w:t>.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Pr="00756DF5">
        <w:rPr>
          <w:rFonts w:ascii="Arial" w:eastAsia="Times New Roman" w:hAnsi="Arial" w:cs="Arial"/>
          <w:bCs/>
          <w:lang w:val="lv-LV" w:eastAsia="lv-LV"/>
        </w:rPr>
        <w:t>44221000-5  “Logi, durvis un saistītie izstrādājumi” (prece), 45421130-4 “Durvju un logu ielikšana” (būvdarbi).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 pēc aritmētisko kļūdu pārbaudes:</w:t>
      </w:r>
    </w:p>
    <w:tbl>
      <w:tblPr>
        <w:tblW w:w="94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1440"/>
        <w:gridCol w:w="1620"/>
        <w:gridCol w:w="1530"/>
        <w:gridCol w:w="1530"/>
      </w:tblGrid>
      <w:tr w:rsidR="00756DF5" w:rsidRPr="00756DF5" w:rsidTr="00756DF5">
        <w:trPr>
          <w:trHeight w:val="27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Pretendenta nosaukums un piedāvātā cena EUR (bez </w:t>
            </w:r>
            <w:smartTag w:uri="urn:schemas-microsoft-com:office:smarttags" w:element="stockticker">
              <w:r w:rsidRPr="00756DF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lv-LV" w:eastAsia="lv-LV"/>
                </w:rPr>
                <w:t>PVN</w:t>
              </w:r>
            </w:smartTag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)</w:t>
            </w:r>
          </w:p>
        </w:tc>
      </w:tr>
      <w:tr w:rsidR="00756DF5" w:rsidRPr="00756DF5" w:rsidTr="00756DF5">
        <w:trPr>
          <w:trHeight w:val="70"/>
        </w:trPr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“Aldens Holding”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</w:t>
            </w:r>
            <w:proofErr w:type="spellStart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Cleanhouse</w:t>
            </w:r>
            <w:proofErr w:type="spellEnd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“Prime Service”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</w:t>
            </w:r>
            <w:proofErr w:type="spellStart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Kodoli</w:t>
            </w:r>
            <w:proofErr w:type="spellEnd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AM”</w:t>
            </w:r>
          </w:p>
        </w:tc>
      </w:tr>
      <w:tr w:rsidR="00756DF5" w:rsidRPr="00756DF5" w:rsidTr="00756DF5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F5" w:rsidRPr="00756DF5" w:rsidRDefault="00756DF5" w:rsidP="00756DF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Nr.1: </w:t>
            </w:r>
            <w:r w:rsidRPr="00756DF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Logu (PVC) izgatavošana, piegāde un montāža objektā: Daudzdzīvokļu ēka Saules ielā 4A, Cēsīs</w:t>
            </w:r>
          </w:p>
        </w:tc>
        <w:tc>
          <w:tcPr>
            <w:tcW w:w="144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8087,06</w:t>
            </w:r>
          </w:p>
        </w:tc>
        <w:tc>
          <w:tcPr>
            <w:tcW w:w="162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7624,66</w:t>
            </w:r>
          </w:p>
        </w:tc>
        <w:tc>
          <w:tcPr>
            <w:tcW w:w="153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14460,75</w:t>
            </w: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12212,06</w:t>
            </w: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Piedāvājumu atbilstība: </w:t>
      </w:r>
    </w:p>
    <w:tbl>
      <w:tblPr>
        <w:tblW w:w="94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1440"/>
        <w:gridCol w:w="1620"/>
        <w:gridCol w:w="1530"/>
        <w:gridCol w:w="1530"/>
      </w:tblGrid>
      <w:tr w:rsidR="00756DF5" w:rsidRPr="00756DF5" w:rsidTr="00756DF5">
        <w:trPr>
          <w:trHeight w:val="27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Pretendenta nosaukums un piedāvājuma atbilstība</w:t>
            </w:r>
          </w:p>
        </w:tc>
      </w:tr>
      <w:tr w:rsidR="00756DF5" w:rsidRPr="00756DF5" w:rsidTr="00756DF5">
        <w:trPr>
          <w:trHeight w:val="70"/>
        </w:trPr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“Aldens Holding”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</w:t>
            </w:r>
            <w:proofErr w:type="spellStart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Cleanhouse</w:t>
            </w:r>
            <w:proofErr w:type="spellEnd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“Prime Service”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F5" w:rsidRPr="00756DF5" w:rsidRDefault="00756DF5" w:rsidP="00756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</w:t>
            </w:r>
            <w:proofErr w:type="spellStart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Kodoli</w:t>
            </w:r>
            <w:proofErr w:type="spellEnd"/>
            <w:r w:rsidRPr="00756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AM”</w:t>
            </w:r>
          </w:p>
        </w:tc>
      </w:tr>
      <w:tr w:rsidR="00756DF5" w:rsidRPr="00756DF5" w:rsidTr="00756DF5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F5" w:rsidRPr="00756DF5" w:rsidRDefault="00756DF5" w:rsidP="00756DF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756D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Nr.1: </w:t>
            </w:r>
            <w:r w:rsidRPr="00756DF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Logu (PVC) izgatavošana, piegāde un montāža objektā: Daudzdzīvokļu ēka Saules ielā 4A, Cēsīs</w:t>
            </w:r>
          </w:p>
        </w:tc>
        <w:tc>
          <w:tcPr>
            <w:tcW w:w="144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Piedāvājums</w:t>
            </w:r>
            <w:proofErr w:type="spellEnd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atsaukts</w:t>
            </w:r>
            <w:proofErr w:type="spellEnd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21.11.2017.</w:t>
            </w:r>
          </w:p>
        </w:tc>
        <w:tc>
          <w:tcPr>
            <w:tcW w:w="162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Piedāvājums</w:t>
            </w:r>
            <w:proofErr w:type="spellEnd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atsaukts</w:t>
            </w:r>
            <w:proofErr w:type="spellEnd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17.11.2017.</w:t>
            </w: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4148B" w:rsidRPr="00756DF5" w:rsidRDefault="0004148B" w:rsidP="0004148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Piedāvājums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atsaukts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05.12</w:t>
            </w:r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.2017.</w:t>
            </w: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56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neatbilst</w:t>
            </w:r>
            <w:proofErr w:type="spellEnd"/>
          </w:p>
          <w:p w:rsidR="00756DF5" w:rsidRPr="00756DF5" w:rsidRDefault="00756DF5" w:rsidP="00756DF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56DF5" w:rsidRPr="00756DF5" w:rsidRDefault="00756DF5" w:rsidP="00756DF5">
      <w:pPr>
        <w:spacing w:line="276" w:lineRule="auto"/>
        <w:ind w:left="284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Cs/>
          <w:lang w:val="lv-LV" w:eastAsia="lv-LV"/>
        </w:rPr>
        <w:t>8.1. Pretendenta – SIA “Kodoli AM” iesniegtais piedāvājums neatbilst iepirkuma nolikuma 4.2.5.</w:t>
      </w:r>
      <w:r w:rsidR="00530BB7">
        <w:rPr>
          <w:rFonts w:ascii="Arial" w:eastAsia="Times New Roman" w:hAnsi="Arial" w:cs="Arial"/>
          <w:bCs/>
          <w:lang w:val="lv-LV" w:eastAsia="lv-LV"/>
        </w:rPr>
        <w:t>1.</w:t>
      </w:r>
      <w:r w:rsidRPr="00756DF5">
        <w:rPr>
          <w:rFonts w:ascii="Arial" w:eastAsia="Times New Roman" w:hAnsi="Arial" w:cs="Arial"/>
          <w:bCs/>
          <w:lang w:val="lv-LV" w:eastAsia="lv-LV"/>
        </w:rPr>
        <w:t>punktam – pretendents piedāvājumā</w:t>
      </w:r>
      <w:r>
        <w:rPr>
          <w:rFonts w:ascii="Arial" w:eastAsia="Times New Roman" w:hAnsi="Arial" w:cs="Arial"/>
          <w:bCs/>
          <w:lang w:val="lv-LV" w:eastAsia="lv-LV"/>
        </w:rPr>
        <w:t xml:space="preserve"> nav apliecinājis pieredzi par to,</w:t>
      </w:r>
      <w:r w:rsidRPr="00756DF5">
        <w:rPr>
          <w:rFonts w:ascii="Arial" w:eastAsia="Times New Roman" w:hAnsi="Arial" w:cs="Arial"/>
          <w:bCs/>
          <w:lang w:val="lv-LV" w:eastAsia="lv-LV"/>
        </w:rPr>
        <w:t xml:space="preserve"> ka iepriekšējos trijos gados ir veicis piedāvājumam līdzīgas preču piegādes un veicis būvdarbus vismaz iepirkuma priekšmeta Tehniskajā specifikācijā (pielikums Nr.2) noteiktajā apjomā daļā, par kuru iesniegts piedāvājums</w:t>
      </w:r>
      <w:r>
        <w:rPr>
          <w:rFonts w:ascii="Arial" w:eastAsia="Times New Roman" w:hAnsi="Arial" w:cs="Arial"/>
          <w:bCs/>
          <w:lang w:val="lv-LV" w:eastAsia="lv-LV"/>
        </w:rPr>
        <w:t xml:space="preserve">, un nav sniedzis informāciju </w:t>
      </w:r>
      <w:r w:rsidRPr="00756DF5">
        <w:rPr>
          <w:rFonts w:ascii="Arial" w:eastAsia="Times New Roman" w:hAnsi="Arial" w:cs="Arial"/>
          <w:bCs/>
          <w:lang w:val="lv-LV" w:eastAsia="lv-LV"/>
        </w:rPr>
        <w:t>saskaņā ar 4.3.5.</w:t>
      </w:r>
      <w:r w:rsidR="00530BB7">
        <w:rPr>
          <w:rFonts w:ascii="Arial" w:eastAsia="Times New Roman" w:hAnsi="Arial" w:cs="Arial"/>
          <w:bCs/>
          <w:lang w:val="lv-LV" w:eastAsia="lv-LV"/>
        </w:rPr>
        <w:t>1.</w:t>
      </w:r>
      <w:r w:rsidRPr="00756DF5">
        <w:rPr>
          <w:rFonts w:ascii="Arial" w:eastAsia="Times New Roman" w:hAnsi="Arial" w:cs="Arial"/>
          <w:bCs/>
          <w:lang w:val="lv-LV" w:eastAsia="lv-LV"/>
        </w:rPr>
        <w:t>punktu</w:t>
      </w:r>
      <w:r w:rsidR="00530BB7">
        <w:rPr>
          <w:rFonts w:ascii="Arial" w:eastAsia="Times New Roman" w:hAnsi="Arial" w:cs="Arial"/>
          <w:bCs/>
          <w:lang w:val="lv-LV" w:eastAsia="lv-LV"/>
        </w:rPr>
        <w:t>, kā arī</w:t>
      </w:r>
      <w:r w:rsidRPr="00756DF5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530BB7">
        <w:rPr>
          <w:rFonts w:ascii="Arial" w:eastAsia="Times New Roman" w:hAnsi="Arial" w:cs="Arial"/>
          <w:bCs/>
          <w:lang w:val="lv-LV" w:eastAsia="lv-LV"/>
        </w:rPr>
        <w:t xml:space="preserve">nav sniedzis papildu skaidrojumus par savu kvalifikāciju. </w:t>
      </w:r>
      <w:r w:rsidRPr="00756DF5">
        <w:rPr>
          <w:rFonts w:ascii="Arial" w:eastAsia="Times New Roman" w:hAnsi="Arial" w:cs="Arial"/>
          <w:bCs/>
          <w:lang w:val="lv-LV" w:eastAsia="lv-LV"/>
        </w:rPr>
        <w:lastRenderedPageBreak/>
        <w:t xml:space="preserve">Piedāvājums ir noraidīts, pamatojoties uz nolikuma 4.1.punktu un 7.1.punktu, ievērojot Publisko iepirkumu likuma 41.panta septīto daļu.  </w:t>
      </w:r>
    </w:p>
    <w:p w:rsidR="00756DF5" w:rsidRPr="00756DF5" w:rsidRDefault="00756DF5" w:rsidP="00756D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756DF5">
        <w:rPr>
          <w:rFonts w:ascii="Arial" w:eastAsia="Times New Roman" w:hAnsi="Arial" w:cs="Arial"/>
          <w:bCs/>
          <w:lang w:val="lv-LV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saimnieciski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visizdevīgākais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piedāvājums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kuru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nosaka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ņemot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vērā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tikai</w:t>
      </w:r>
      <w:proofErr w:type="spellEnd"/>
      <w:r w:rsidRPr="00756DF5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756DF5">
        <w:rPr>
          <w:rFonts w:ascii="Arial" w:eastAsia="Times New Roman" w:hAnsi="Arial" w:cs="Arial"/>
          <w:bCs/>
          <w:lang w:val="en-GB" w:eastAsia="lv-LV"/>
        </w:rPr>
        <w:t>cenu</w:t>
      </w:r>
      <w:proofErr w:type="spellEnd"/>
      <w:r w:rsidRPr="00756DF5">
        <w:rPr>
          <w:rFonts w:ascii="Arial" w:eastAsia="Times New Roman" w:hAnsi="Arial" w:cs="Arial"/>
          <w:bCs/>
          <w:lang w:val="lv-LV" w:eastAsia="lv-LV"/>
        </w:rPr>
        <w:t>.</w:t>
      </w:r>
    </w:p>
    <w:p w:rsidR="00756DF5" w:rsidRPr="00756DF5" w:rsidRDefault="00756DF5" w:rsidP="00756DF5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756DF5">
        <w:rPr>
          <w:rFonts w:ascii="Arial" w:eastAsia="Times New Roman" w:hAnsi="Arial" w:cs="Arial"/>
          <w:b/>
          <w:bCs/>
          <w:lang w:val="lv-LV" w:eastAsia="lv-LV"/>
        </w:rPr>
        <w:t xml:space="preserve">10. Pretendenta nosaukums, ar kuru nolemts slēgt iepirkuma līgumu: </w:t>
      </w:r>
      <w:r w:rsidR="0004148B">
        <w:rPr>
          <w:rFonts w:ascii="Arial" w:eastAsia="Times New Roman" w:hAnsi="Arial" w:cs="Arial"/>
          <w:bCs/>
          <w:lang w:val="lv-LV" w:eastAsia="lv-LV"/>
        </w:rPr>
        <w:t>Iepirkums daļā Nr.2 pārtraukts, pamatojoties uz nolikuma 10.5.punktu un Publisko iepirkumu likuma 9.panta piecpadsmito daļu.</w:t>
      </w:r>
      <w:bookmarkStart w:id="0" w:name="_GoBack"/>
      <w:bookmarkEnd w:id="0"/>
    </w:p>
    <w:p w:rsidR="00B154D4" w:rsidRPr="00B154D4" w:rsidRDefault="00B154D4" w:rsidP="00B154D4">
      <w:p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11</w:t>
      </w:r>
      <w:r w:rsidRPr="00B154D4">
        <w:rPr>
          <w:rFonts w:ascii="Arial" w:eastAsia="Times New Roman" w:hAnsi="Arial" w:cs="Arial"/>
          <w:b/>
          <w:lang w:val="lv-LV" w:eastAsia="lv-LV"/>
        </w:rPr>
        <w:t>. Lēmuma pārsūdzēšana:</w:t>
      </w:r>
      <w:r w:rsidRPr="00B154D4">
        <w:rPr>
          <w:rFonts w:ascii="Arial" w:eastAsia="Times New Roman" w:hAnsi="Arial" w:cs="Arial"/>
          <w:lang w:val="lv-LV" w:eastAsia="lv-LV"/>
        </w:rPr>
        <w:t xml:space="preserve"> </w:t>
      </w:r>
      <w:r w:rsidRPr="00B154D4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 Iepirkuma komisijas lēmumu var pārsūdzē</w:t>
      </w:r>
      <w:r w:rsidR="00DF5EAD">
        <w:rPr>
          <w:rFonts w:ascii="Arial" w:eastAsia="Times New Roman" w:hAnsi="Arial" w:cs="Arial"/>
          <w:bCs/>
          <w:lang w:val="lv-LV" w:eastAsia="lv-LV"/>
        </w:rPr>
        <w:t>t Administratīvajā rajona tiesā</w:t>
      </w:r>
      <w:r w:rsidRPr="00B154D4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756DF5" w:rsidRDefault="00756DF5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Cs/>
          <w:lang w:val="lv-LV" w:eastAsia="lv-LV"/>
        </w:rPr>
        <w:t>Komisijas locekļi:</w:t>
      </w:r>
    </w:p>
    <w:p w:rsidR="00021D48" w:rsidRDefault="00021D48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021D48" w:rsidRPr="00B154D4" w:rsidRDefault="00021D48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J. Gramsts</w:t>
      </w:r>
      <w:r w:rsidR="00756DF5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</w:p>
    <w:p w:rsidR="00504E24" w:rsidRPr="00B154D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756DF5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 xml:space="preserve">V. Vaivode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504E2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756DF5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E. Dzelzītis</w:t>
      </w:r>
      <w:r w:rsidR="00B154D4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 w:rsidSect="00021D4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21D48"/>
    <w:rsid w:val="0004148B"/>
    <w:rsid w:val="00064B7A"/>
    <w:rsid w:val="000A10B4"/>
    <w:rsid w:val="000A1E5C"/>
    <w:rsid w:val="000C6CFC"/>
    <w:rsid w:val="000F71D2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67FC0"/>
    <w:rsid w:val="00380AEC"/>
    <w:rsid w:val="003875A4"/>
    <w:rsid w:val="003B5C97"/>
    <w:rsid w:val="003D37FD"/>
    <w:rsid w:val="003E02E3"/>
    <w:rsid w:val="003E6822"/>
    <w:rsid w:val="0040115A"/>
    <w:rsid w:val="004462B0"/>
    <w:rsid w:val="00457D2C"/>
    <w:rsid w:val="004D7ACF"/>
    <w:rsid w:val="004E1B98"/>
    <w:rsid w:val="00504E24"/>
    <w:rsid w:val="00516784"/>
    <w:rsid w:val="00523BE1"/>
    <w:rsid w:val="00530BB7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56DF5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154D4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DF5EAD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FB4EAB4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2017-11-02T12:36:00Z</cp:lastPrinted>
  <dcterms:created xsi:type="dcterms:W3CDTF">2017-11-29T09:02:00Z</dcterms:created>
  <dcterms:modified xsi:type="dcterms:W3CDTF">2017-12-07T13:05:00Z</dcterms:modified>
</cp:coreProperties>
</file>