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3F" w:rsidRPr="004C56B8" w:rsidRDefault="0040213F" w:rsidP="004C5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6B8">
        <w:rPr>
          <w:rFonts w:ascii="Times New Roman" w:hAnsi="Times New Roman" w:cs="Times New Roman"/>
          <w:b/>
          <w:sz w:val="24"/>
          <w:szCs w:val="24"/>
        </w:rPr>
        <w:t xml:space="preserve">Informācija </w:t>
      </w:r>
      <w:r w:rsidR="004C56B8" w:rsidRPr="004C56B8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0F0175" w:rsidRPr="000F0175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4C56B8" w:rsidRPr="004C56B8">
        <w:rPr>
          <w:rFonts w:ascii="Times New Roman" w:hAnsi="Times New Roman" w:cs="Times New Roman"/>
          <w:b/>
          <w:sz w:val="24"/>
          <w:szCs w:val="24"/>
        </w:rPr>
        <w:t>.12.2014.veiktajiem grozījumiem</w:t>
      </w:r>
      <w:r w:rsidR="004C56B8">
        <w:rPr>
          <w:rFonts w:ascii="Times New Roman" w:hAnsi="Times New Roman" w:cs="Times New Roman"/>
          <w:b/>
          <w:sz w:val="24"/>
          <w:szCs w:val="24"/>
        </w:rPr>
        <w:t xml:space="preserve"> iepirkuma ar id.Nr.RTU-2014/145 nolikumā</w:t>
      </w:r>
      <w:r w:rsidR="00A603A7">
        <w:rPr>
          <w:rFonts w:ascii="Times New Roman" w:hAnsi="Times New Roman" w:cs="Times New Roman"/>
          <w:b/>
          <w:sz w:val="24"/>
          <w:szCs w:val="24"/>
        </w:rPr>
        <w:t xml:space="preserve"> (grozījumi Nr.2)</w:t>
      </w:r>
    </w:p>
    <w:p w:rsidR="00AB439E" w:rsidRPr="00D35515" w:rsidRDefault="00FD7C06" w:rsidP="00D3551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56B8">
        <w:rPr>
          <w:rFonts w:ascii="Times New Roman" w:hAnsi="Times New Roman" w:cs="Times New Roman"/>
          <w:sz w:val="24"/>
          <w:szCs w:val="24"/>
        </w:rPr>
        <w:t xml:space="preserve">Iepirkuma komisija ar 2014.gada </w:t>
      </w:r>
      <w:r w:rsidR="000F0175">
        <w:rPr>
          <w:rFonts w:ascii="Times New Roman" w:hAnsi="Times New Roman" w:cs="Times New Roman"/>
          <w:sz w:val="24"/>
          <w:szCs w:val="24"/>
        </w:rPr>
        <w:t>12</w:t>
      </w:r>
      <w:r w:rsidRPr="004C56B8">
        <w:rPr>
          <w:rFonts w:ascii="Times New Roman" w:hAnsi="Times New Roman" w:cs="Times New Roman"/>
          <w:sz w:val="24"/>
          <w:szCs w:val="24"/>
        </w:rPr>
        <w:t>.decembra iepirkuma komisijas sēdes protokolu Nr.</w:t>
      </w:r>
      <w:r w:rsidR="000F0175">
        <w:rPr>
          <w:rFonts w:ascii="Times New Roman" w:hAnsi="Times New Roman" w:cs="Times New Roman"/>
          <w:sz w:val="24"/>
          <w:szCs w:val="24"/>
        </w:rPr>
        <w:t>6</w:t>
      </w:r>
      <w:r w:rsidRPr="004C56B8">
        <w:rPr>
          <w:rFonts w:ascii="Times New Roman" w:hAnsi="Times New Roman" w:cs="Times New Roman"/>
          <w:sz w:val="24"/>
          <w:szCs w:val="24"/>
        </w:rPr>
        <w:t xml:space="preserve"> ir apstiprinājusi šādus grozījumus </w:t>
      </w:r>
      <w:r w:rsidR="00A14558">
        <w:rPr>
          <w:rFonts w:ascii="Times New Roman" w:hAnsi="Times New Roman" w:cs="Times New Roman"/>
          <w:sz w:val="24"/>
          <w:szCs w:val="24"/>
        </w:rPr>
        <w:t xml:space="preserve">atklāta konkursa “Reklāmas izvietošanas </w:t>
      </w:r>
      <w:r w:rsidR="00A14558" w:rsidRPr="00D35515">
        <w:rPr>
          <w:rFonts w:ascii="Times New Roman" w:hAnsi="Times New Roman" w:cs="Times New Roman"/>
          <w:sz w:val="24"/>
          <w:szCs w:val="24"/>
        </w:rPr>
        <w:t>pakalpojumi Rīgas Tehniskās universitātes vajadzībām” ar id.Nr.RTU-2014/145</w:t>
      </w:r>
      <w:r w:rsidRPr="00D35515">
        <w:rPr>
          <w:rFonts w:ascii="Times New Roman" w:hAnsi="Times New Roman" w:cs="Times New Roman"/>
          <w:sz w:val="24"/>
          <w:szCs w:val="24"/>
        </w:rPr>
        <w:t xml:space="preserve"> nolikumā:</w:t>
      </w:r>
    </w:p>
    <w:p w:rsidR="00FD7C06" w:rsidRPr="00D35515" w:rsidRDefault="00FD7C06" w:rsidP="00D35515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5515">
        <w:rPr>
          <w:rFonts w:ascii="Times New Roman" w:hAnsi="Times New Roman" w:cs="Times New Roman"/>
          <w:sz w:val="24"/>
          <w:szCs w:val="24"/>
        </w:rPr>
        <w:t xml:space="preserve">Pagarināts piedāvājuma iesniegšanas termiņš – nolikuma 2.1.1., 2.4.6., 2.4.9., 2.5.1., 2.5.5. punktā tas tiek mainīts uz 2015.gada </w:t>
      </w:r>
      <w:r w:rsidR="000F0175" w:rsidRPr="00D35515">
        <w:rPr>
          <w:rFonts w:ascii="Times New Roman" w:hAnsi="Times New Roman" w:cs="Times New Roman"/>
          <w:b/>
          <w:sz w:val="24"/>
          <w:szCs w:val="24"/>
        </w:rPr>
        <w:t>9</w:t>
      </w:r>
      <w:r w:rsidRPr="00D35515">
        <w:rPr>
          <w:rFonts w:ascii="Times New Roman" w:hAnsi="Times New Roman" w:cs="Times New Roman"/>
          <w:sz w:val="24"/>
          <w:szCs w:val="24"/>
        </w:rPr>
        <w:t>.janvāri plkst.10:00</w:t>
      </w:r>
      <w:r w:rsidR="0040213F" w:rsidRPr="00D35515">
        <w:rPr>
          <w:rFonts w:ascii="Times New Roman" w:hAnsi="Times New Roman" w:cs="Times New Roman"/>
          <w:sz w:val="24"/>
          <w:szCs w:val="24"/>
        </w:rPr>
        <w:t>;</w:t>
      </w:r>
    </w:p>
    <w:p w:rsidR="0052730C" w:rsidRPr="00D35515" w:rsidRDefault="0052730C" w:rsidP="00D35515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5515">
        <w:rPr>
          <w:rFonts w:ascii="Times New Roman" w:hAnsi="Times New Roman" w:cs="Times New Roman"/>
          <w:sz w:val="24"/>
          <w:szCs w:val="24"/>
        </w:rPr>
        <w:t>Nolikuma 8.3.5.1.punkts papildināts ar vārdiem “reklāmas stenda” aiz vārda “plaknes“;</w:t>
      </w:r>
    </w:p>
    <w:p w:rsidR="0052730C" w:rsidRPr="00D35515" w:rsidRDefault="0052730C" w:rsidP="00D35515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5515">
        <w:rPr>
          <w:rFonts w:ascii="Times New Roman" w:hAnsi="Times New Roman" w:cs="Times New Roman"/>
          <w:sz w:val="24"/>
          <w:szCs w:val="24"/>
        </w:rPr>
        <w:t>Nolikuma 8.3.5.2.punkts tiek izteikts šādā redakcijā ”</w:t>
      </w:r>
      <w:r w:rsidRPr="00A603A7">
        <w:rPr>
          <w:rFonts w:ascii="Times New Roman" w:hAnsi="Times New Roman" w:cs="Times New Roman"/>
          <w:sz w:val="24"/>
          <w:szCs w:val="24"/>
        </w:rPr>
        <w:t xml:space="preserve">Izdevīgākais piedāvājums </w:t>
      </w:r>
      <w:r w:rsidRPr="00D35515">
        <w:rPr>
          <w:rFonts w:ascii="Times New Roman" w:hAnsi="Times New Roman" w:cs="Times New Roman"/>
          <w:sz w:val="24"/>
          <w:szCs w:val="24"/>
        </w:rPr>
        <w:t xml:space="preserve">tiek noteikts, aprēķinot vidēji svērto un indeksēto cenu, sasverot pēc šāda principa: mediju piegādātājiem </w:t>
      </w:r>
      <w:r w:rsidR="00B92185" w:rsidRPr="00D35515">
        <w:rPr>
          <w:rFonts w:ascii="Times New Roman" w:hAnsi="Times New Roman" w:cs="Times New Roman"/>
          <w:sz w:val="24"/>
          <w:szCs w:val="24"/>
        </w:rPr>
        <w:t xml:space="preserve">SIA </w:t>
      </w:r>
      <w:r w:rsidRPr="00D3551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35515">
        <w:rPr>
          <w:rFonts w:ascii="Times New Roman" w:hAnsi="Times New Roman" w:cs="Times New Roman"/>
          <w:sz w:val="24"/>
          <w:szCs w:val="24"/>
        </w:rPr>
        <w:t>JCDecaux</w:t>
      </w:r>
      <w:proofErr w:type="spellEnd"/>
      <w:r w:rsidR="00B92185" w:rsidRPr="00D35515">
        <w:rPr>
          <w:rFonts w:ascii="Times New Roman" w:hAnsi="Times New Roman" w:cs="Times New Roman"/>
          <w:sz w:val="24"/>
          <w:szCs w:val="24"/>
        </w:rPr>
        <w:t xml:space="preserve"> Latvija</w:t>
      </w:r>
      <w:r w:rsidRPr="00D35515">
        <w:rPr>
          <w:rFonts w:ascii="Times New Roman" w:hAnsi="Times New Roman" w:cs="Times New Roman"/>
          <w:sz w:val="24"/>
          <w:szCs w:val="24"/>
        </w:rPr>
        <w:t xml:space="preserve">” un </w:t>
      </w:r>
      <w:r w:rsidR="00B92185" w:rsidRPr="00D35515">
        <w:rPr>
          <w:rFonts w:ascii="Times New Roman" w:hAnsi="Times New Roman" w:cs="Times New Roman"/>
          <w:sz w:val="24"/>
          <w:szCs w:val="24"/>
        </w:rPr>
        <w:t xml:space="preserve">SIA </w:t>
      </w:r>
      <w:r w:rsidRPr="00D3551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35515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D3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15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="00B92185" w:rsidRPr="00D35515">
        <w:rPr>
          <w:rFonts w:ascii="Times New Roman" w:hAnsi="Times New Roman" w:cs="Times New Roman"/>
          <w:sz w:val="24"/>
          <w:szCs w:val="24"/>
        </w:rPr>
        <w:t xml:space="preserve"> Latvia</w:t>
      </w:r>
      <w:r w:rsidRPr="00D35515">
        <w:rPr>
          <w:rFonts w:ascii="Times New Roman" w:hAnsi="Times New Roman" w:cs="Times New Roman"/>
          <w:sz w:val="24"/>
          <w:szCs w:val="24"/>
        </w:rPr>
        <w:t xml:space="preserve">” katram tiek piešķirts 35% svars, </w:t>
      </w:r>
      <w:r w:rsidR="00B92185" w:rsidRPr="00D35515">
        <w:rPr>
          <w:rFonts w:ascii="Times New Roman" w:hAnsi="Times New Roman" w:cs="Times New Roman"/>
          <w:sz w:val="24"/>
          <w:szCs w:val="24"/>
        </w:rPr>
        <w:t xml:space="preserve">SIA </w:t>
      </w:r>
      <w:r w:rsidRPr="00D35515">
        <w:rPr>
          <w:rFonts w:ascii="Times New Roman" w:hAnsi="Times New Roman" w:cs="Times New Roman"/>
          <w:sz w:val="24"/>
          <w:szCs w:val="24"/>
        </w:rPr>
        <w:t>„Pilsētas līnijas”</w:t>
      </w:r>
      <w:r w:rsidR="00B92185" w:rsidRPr="00D35515">
        <w:rPr>
          <w:rFonts w:ascii="Times New Roman" w:hAnsi="Times New Roman" w:cs="Times New Roman"/>
          <w:sz w:val="24"/>
          <w:szCs w:val="24"/>
        </w:rPr>
        <w:t xml:space="preserve"> </w:t>
      </w:r>
      <w:r w:rsidRPr="00D35515">
        <w:rPr>
          <w:rFonts w:ascii="Times New Roman" w:hAnsi="Times New Roman" w:cs="Times New Roman"/>
          <w:sz w:val="24"/>
          <w:szCs w:val="24"/>
        </w:rPr>
        <w:t xml:space="preserve">tiek piešķirts 30% svars (ar 12.12.2014. grozījumiem), bet tā kā no </w:t>
      </w:r>
      <w:r w:rsidR="00B92185" w:rsidRPr="00D35515">
        <w:rPr>
          <w:rFonts w:ascii="Times New Roman" w:hAnsi="Times New Roman" w:cs="Times New Roman"/>
          <w:sz w:val="24"/>
          <w:szCs w:val="24"/>
        </w:rPr>
        <w:t xml:space="preserve">SIA </w:t>
      </w:r>
      <w:r w:rsidRPr="00D35515">
        <w:rPr>
          <w:rFonts w:ascii="Times New Roman" w:hAnsi="Times New Roman" w:cs="Times New Roman"/>
          <w:sz w:val="24"/>
          <w:szCs w:val="24"/>
        </w:rPr>
        <w:t>„Pilsētas līnijām” ir plānots iepirkt dažādus reklāmas formātus, tad to (formātu) nozīmīgums tiek papildus sasvērts pēc oficiālajām formātu nomas cenām (sk. Nolikuma 8.3.6.punktu).”</w:t>
      </w:r>
    </w:p>
    <w:p w:rsidR="0052730C" w:rsidRPr="00D35515" w:rsidRDefault="0052730C" w:rsidP="00D35515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5515">
        <w:rPr>
          <w:rFonts w:ascii="Times New Roman" w:hAnsi="Times New Roman" w:cs="Times New Roman"/>
          <w:sz w:val="24"/>
          <w:szCs w:val="24"/>
        </w:rPr>
        <w:t>Nolikuma 8.3.6.5. tabula ar informāciju “Formāts” un “Svars” tiek papildināta ar informāciju par mediju SIA “</w:t>
      </w:r>
      <w:proofErr w:type="spellStart"/>
      <w:r w:rsidRPr="00D35515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D3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515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D35515">
        <w:rPr>
          <w:rFonts w:ascii="Times New Roman" w:hAnsi="Times New Roman" w:cs="Times New Roman"/>
          <w:sz w:val="24"/>
          <w:szCs w:val="24"/>
        </w:rPr>
        <w:t xml:space="preserve"> Latvia”</w:t>
      </w:r>
      <w:r w:rsidR="00B92185" w:rsidRPr="00D35515">
        <w:rPr>
          <w:rFonts w:ascii="Times New Roman" w:hAnsi="Times New Roman" w:cs="Times New Roman"/>
          <w:sz w:val="24"/>
          <w:szCs w:val="24"/>
        </w:rPr>
        <w:t>, kā arī mainītas vērtības ailē “Svari”</w:t>
      </w:r>
      <w:r w:rsidRPr="00D35515">
        <w:rPr>
          <w:rFonts w:ascii="Times New Roman" w:hAnsi="Times New Roman" w:cs="Times New Roman"/>
          <w:sz w:val="24"/>
          <w:szCs w:val="24"/>
        </w:rPr>
        <w:t>;</w:t>
      </w:r>
    </w:p>
    <w:p w:rsidR="00D14C3E" w:rsidRPr="00D35515" w:rsidRDefault="004C56B8" w:rsidP="00D35515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5515">
        <w:rPr>
          <w:rFonts w:ascii="Times New Roman" w:hAnsi="Times New Roman" w:cs="Times New Roman"/>
          <w:sz w:val="24"/>
          <w:szCs w:val="24"/>
        </w:rPr>
        <w:t>Nolikuma 5.pielikumā “Tehniskā specifikācija”</w:t>
      </w:r>
      <w:r w:rsidR="00B92185" w:rsidRPr="00D35515">
        <w:rPr>
          <w:rFonts w:ascii="Times New Roman" w:hAnsi="Times New Roman" w:cs="Times New Roman"/>
          <w:sz w:val="24"/>
          <w:szCs w:val="24"/>
        </w:rPr>
        <w:t xml:space="preserve"> </w:t>
      </w:r>
      <w:r w:rsidR="00637EC3" w:rsidRPr="00D35515">
        <w:rPr>
          <w:rFonts w:ascii="Times New Roman" w:hAnsi="Times New Roman" w:cs="Times New Roman"/>
          <w:sz w:val="24"/>
          <w:szCs w:val="24"/>
        </w:rPr>
        <w:t xml:space="preserve">sadaļā “Prasības tehniskā-finanšu piedāvājuma veidņu aizpildīšanai” </w:t>
      </w:r>
      <w:r w:rsidR="00B92185" w:rsidRPr="00D35515">
        <w:rPr>
          <w:rFonts w:ascii="Times New Roman" w:hAnsi="Times New Roman" w:cs="Times New Roman"/>
          <w:sz w:val="24"/>
          <w:szCs w:val="24"/>
        </w:rPr>
        <w:t>tiek pievienots jauns 9.4.punkts šādā redakcijā “</w:t>
      </w:r>
      <w:r w:rsidR="00B92185" w:rsidRPr="00D35515">
        <w:rPr>
          <w:rFonts w:ascii="Times New Roman" w:hAnsi="Times New Roman"/>
          <w:i/>
          <w:sz w:val="24"/>
        </w:rPr>
        <w:t>Vides reklāma: SIA “</w:t>
      </w:r>
      <w:proofErr w:type="spellStart"/>
      <w:r w:rsidR="00B92185" w:rsidRPr="00D35515">
        <w:rPr>
          <w:rFonts w:ascii="Times New Roman" w:hAnsi="Times New Roman"/>
          <w:i/>
          <w:sz w:val="24"/>
        </w:rPr>
        <w:t>Clear</w:t>
      </w:r>
      <w:proofErr w:type="spellEnd"/>
      <w:r w:rsidR="00B92185" w:rsidRPr="00D35515">
        <w:rPr>
          <w:rFonts w:ascii="Times New Roman" w:hAnsi="Times New Roman"/>
          <w:i/>
          <w:sz w:val="24"/>
        </w:rPr>
        <w:t xml:space="preserve"> </w:t>
      </w:r>
      <w:proofErr w:type="spellStart"/>
      <w:r w:rsidR="00B92185" w:rsidRPr="00D35515">
        <w:rPr>
          <w:rFonts w:ascii="Times New Roman" w:hAnsi="Times New Roman"/>
          <w:i/>
          <w:sz w:val="24"/>
        </w:rPr>
        <w:t>Channel</w:t>
      </w:r>
      <w:proofErr w:type="spellEnd"/>
      <w:r w:rsidR="00B92185" w:rsidRPr="00D35515">
        <w:rPr>
          <w:rFonts w:ascii="Times New Roman" w:hAnsi="Times New Roman"/>
          <w:i/>
          <w:sz w:val="24"/>
        </w:rPr>
        <w:t xml:space="preserve"> Latvia” formāts „</w:t>
      </w:r>
      <w:proofErr w:type="spellStart"/>
      <w:r w:rsidR="00B92185" w:rsidRPr="00D35515">
        <w:rPr>
          <w:rFonts w:ascii="Times New Roman" w:hAnsi="Times New Roman"/>
          <w:i/>
          <w:sz w:val="24"/>
        </w:rPr>
        <w:t>pilārs</w:t>
      </w:r>
      <w:proofErr w:type="spellEnd"/>
      <w:r w:rsidR="00B92185" w:rsidRPr="00D35515">
        <w:rPr>
          <w:rFonts w:ascii="Times New Roman" w:hAnsi="Times New Roman"/>
          <w:i/>
          <w:sz w:val="24"/>
        </w:rPr>
        <w:t xml:space="preserve">” ir trīsskaldņa konstrukcija ar trīs plakātiem. Norādot cenas un cenu indeksus, jānorāda cenas par visu (pilnu) konstrukciju, nevis vienu skaldni atsevišķi, kā arī jāievēro nosacījums, ka vismaz 40% </w:t>
      </w:r>
      <w:proofErr w:type="spellStart"/>
      <w:r w:rsidR="00B92185" w:rsidRPr="00D35515">
        <w:rPr>
          <w:rFonts w:ascii="Times New Roman" w:hAnsi="Times New Roman"/>
          <w:i/>
          <w:sz w:val="24"/>
        </w:rPr>
        <w:t>pilāriem</w:t>
      </w:r>
      <w:proofErr w:type="spellEnd"/>
      <w:r w:rsidR="00B92185" w:rsidRPr="00D35515">
        <w:rPr>
          <w:rFonts w:ascii="Times New Roman" w:hAnsi="Times New Roman"/>
          <w:i/>
          <w:sz w:val="24"/>
        </w:rPr>
        <w:t xml:space="preserve"> no viena pasūtījuma jābūt izgaismotiem.</w:t>
      </w:r>
      <w:r w:rsidR="00B92185" w:rsidRPr="00D35515">
        <w:rPr>
          <w:rFonts w:ascii="Times New Roman" w:hAnsi="Times New Roman"/>
          <w:sz w:val="24"/>
        </w:rPr>
        <w:t>”, iepriekšējais 9.4.punkts kļūst par 9.5.punktu, iepriekšējais 9.5.</w:t>
      </w:r>
      <w:bookmarkStart w:id="0" w:name="_GoBack"/>
      <w:bookmarkEnd w:id="0"/>
      <w:r w:rsidR="00B92185" w:rsidRPr="00D35515">
        <w:rPr>
          <w:rFonts w:ascii="Times New Roman" w:hAnsi="Times New Roman"/>
          <w:sz w:val="24"/>
        </w:rPr>
        <w:t>punkts kļūst par 9.6.punktu</w:t>
      </w:r>
      <w:r w:rsidR="00B92185" w:rsidRPr="00D35515">
        <w:rPr>
          <w:rFonts w:ascii="Times New Roman" w:hAnsi="Times New Roman"/>
          <w:color w:val="FF0000"/>
          <w:sz w:val="24"/>
        </w:rPr>
        <w:t xml:space="preserve">. </w:t>
      </w:r>
    </w:p>
    <w:p w:rsidR="00D35515" w:rsidRPr="00D35515" w:rsidRDefault="004C56B8" w:rsidP="00D35515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5515">
        <w:rPr>
          <w:rFonts w:ascii="Times New Roman" w:hAnsi="Times New Roman" w:cs="Times New Roman"/>
          <w:sz w:val="24"/>
          <w:szCs w:val="24"/>
        </w:rPr>
        <w:t xml:space="preserve">Nolikuma 5.pielikuma “Tehniskā specifikācija” 1.pielikuma “Tehniskā-finanšu piedāvājuma veidnes” </w:t>
      </w:r>
      <w:r w:rsidR="00637EC3" w:rsidRPr="00D35515">
        <w:rPr>
          <w:rFonts w:ascii="Times New Roman" w:hAnsi="Times New Roman" w:cs="Times New Roman"/>
          <w:sz w:val="24"/>
          <w:szCs w:val="24"/>
        </w:rPr>
        <w:t>5</w:t>
      </w:r>
      <w:r w:rsidRPr="00D35515">
        <w:rPr>
          <w:rFonts w:ascii="Times New Roman" w:hAnsi="Times New Roman" w:cs="Times New Roman"/>
          <w:sz w:val="24"/>
          <w:szCs w:val="24"/>
        </w:rPr>
        <w:t>.sadaļā “</w:t>
      </w:r>
      <w:r w:rsidR="00637EC3" w:rsidRPr="00D35515">
        <w:rPr>
          <w:rFonts w:ascii="Times New Roman" w:hAnsi="Times New Roman" w:cs="Times New Roman"/>
          <w:i/>
          <w:sz w:val="24"/>
          <w:szCs w:val="24"/>
        </w:rPr>
        <w:t>Vides reklāma</w:t>
      </w:r>
      <w:r w:rsidRPr="00D35515">
        <w:rPr>
          <w:rFonts w:ascii="Times New Roman" w:hAnsi="Times New Roman" w:cs="Times New Roman"/>
          <w:sz w:val="24"/>
          <w:szCs w:val="24"/>
        </w:rPr>
        <w:t xml:space="preserve">” </w:t>
      </w:r>
      <w:r w:rsidR="00637EC3" w:rsidRPr="00D35515">
        <w:rPr>
          <w:rFonts w:ascii="Times New Roman" w:hAnsi="Times New Roman" w:cs="Times New Roman"/>
          <w:sz w:val="24"/>
          <w:szCs w:val="24"/>
        </w:rPr>
        <w:t>vides reklāmas piegādātāji/ veidi tiek papildināti ar informāciju par SIA “</w:t>
      </w:r>
      <w:proofErr w:type="spellStart"/>
      <w:r w:rsidR="00637EC3" w:rsidRPr="00D35515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="00637EC3" w:rsidRPr="00D35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EC3" w:rsidRPr="00D35515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="00637EC3" w:rsidRPr="00D35515">
        <w:rPr>
          <w:rFonts w:ascii="Times New Roman" w:hAnsi="Times New Roman" w:cs="Times New Roman"/>
          <w:sz w:val="24"/>
          <w:szCs w:val="24"/>
        </w:rPr>
        <w:t xml:space="preserve"> Latvia”</w:t>
      </w:r>
      <w:r w:rsidR="00D35515" w:rsidRPr="00D35515">
        <w:rPr>
          <w:rFonts w:ascii="Times New Roman" w:hAnsi="Times New Roman" w:cs="Times New Roman"/>
          <w:sz w:val="24"/>
          <w:szCs w:val="24"/>
        </w:rPr>
        <w:t xml:space="preserve"> un norādīta papildu paskaidrojošā informācija, kā arī </w:t>
      </w:r>
      <w:proofErr w:type="spellStart"/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>eidnēs</w:t>
      </w:r>
      <w:proofErr w:type="spellEnd"/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 xml:space="preserve"> tabula “5.2. Vides </w:t>
      </w:r>
      <w:proofErr w:type="spellStart"/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>reklāmas</w:t>
      </w:r>
      <w:proofErr w:type="spellEnd"/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>sezonālais</w:t>
      </w:r>
      <w:proofErr w:type="spellEnd"/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>indekss</w:t>
      </w:r>
      <w:proofErr w:type="spellEnd"/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 xml:space="preserve">, %” </w:t>
      </w:r>
      <w:proofErr w:type="spellStart"/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>sadalīta</w:t>
      </w:r>
      <w:proofErr w:type="spellEnd"/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>divās</w:t>
      </w:r>
      <w:proofErr w:type="spellEnd"/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>daļās</w:t>
      </w:r>
      <w:proofErr w:type="spellEnd"/>
      <w:r w:rsidR="00D35515" w:rsidRPr="00D355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7EC3" w:rsidRPr="00637EC3" w:rsidRDefault="00637EC3" w:rsidP="00D35515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5515">
        <w:rPr>
          <w:rFonts w:ascii="Times New Roman" w:hAnsi="Times New Roman" w:cs="Times New Roman"/>
          <w:sz w:val="24"/>
          <w:szCs w:val="24"/>
        </w:rPr>
        <w:t xml:space="preserve"> </w:t>
      </w:r>
      <w:r w:rsidR="00D14C3E" w:rsidRPr="00D35515">
        <w:rPr>
          <w:rFonts w:ascii="Times New Roman" w:hAnsi="Times New Roman" w:cs="Times New Roman"/>
          <w:sz w:val="24"/>
          <w:szCs w:val="24"/>
        </w:rPr>
        <w:t>Nolikuma 6.pielikuma</w:t>
      </w:r>
      <w:r w:rsidR="00D14C3E" w:rsidRPr="00637EC3">
        <w:rPr>
          <w:rFonts w:ascii="Times New Roman" w:hAnsi="Times New Roman" w:cs="Times New Roman"/>
          <w:sz w:val="24"/>
          <w:szCs w:val="24"/>
        </w:rPr>
        <w:t xml:space="preserve"> “Instrukcija Tehniskā-finanšu piedāvājuma veidņu aizpildīšanai” </w:t>
      </w:r>
      <w:r>
        <w:rPr>
          <w:rFonts w:ascii="Times New Roman" w:hAnsi="Times New Roman" w:cs="Times New Roman"/>
          <w:sz w:val="24"/>
          <w:szCs w:val="24"/>
        </w:rPr>
        <w:t>7.sadaļā “Vides reklāmas veidnes instrukcija” 7.2.punkts tiek papildināts ar informāciju par SIA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EC3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637EC3">
        <w:rPr>
          <w:rFonts w:ascii="Times New Roman" w:hAnsi="Times New Roman" w:cs="Times New Roman"/>
          <w:sz w:val="24"/>
          <w:szCs w:val="24"/>
        </w:rPr>
        <w:t xml:space="preserve"> Latvia” un izteikts šādā redakcijā: “</w:t>
      </w:r>
      <w:r w:rsidRPr="00637EC3">
        <w:rPr>
          <w:rFonts w:ascii="Times New Roman" w:hAnsi="Times New Roman"/>
          <w:sz w:val="24"/>
        </w:rPr>
        <w:t xml:space="preserve">Vides reklāmas veidnēs ir norādīti </w:t>
      </w:r>
      <w:r w:rsidRPr="00637EC3">
        <w:rPr>
          <w:rFonts w:ascii="Times New Roman" w:hAnsi="Times New Roman"/>
          <w:i/>
          <w:strike/>
          <w:sz w:val="24"/>
          <w:szCs w:val="24"/>
        </w:rPr>
        <w:t>2</w:t>
      </w:r>
      <w:r w:rsidRPr="00637EC3">
        <w:rPr>
          <w:rFonts w:ascii="Times New Roman" w:hAnsi="Times New Roman"/>
          <w:i/>
          <w:sz w:val="24"/>
          <w:szCs w:val="24"/>
        </w:rPr>
        <w:t xml:space="preserve"> 3 (ar 12.12.2014.grozījumiem)</w:t>
      </w:r>
      <w:r w:rsidRPr="00637EC3">
        <w:rPr>
          <w:rFonts w:ascii="Times New Roman" w:hAnsi="Times New Roman"/>
          <w:sz w:val="24"/>
        </w:rPr>
        <w:t xml:space="preserve"> reklāmas piegādātāji, SIA „</w:t>
      </w:r>
      <w:proofErr w:type="spellStart"/>
      <w:r w:rsidRPr="00637EC3">
        <w:rPr>
          <w:rFonts w:ascii="Times New Roman" w:hAnsi="Times New Roman"/>
          <w:sz w:val="24"/>
        </w:rPr>
        <w:t>JCDecaux</w:t>
      </w:r>
      <w:proofErr w:type="spellEnd"/>
      <w:r w:rsidRPr="00637EC3">
        <w:rPr>
          <w:rFonts w:ascii="Times New Roman" w:hAnsi="Times New Roman"/>
          <w:sz w:val="24"/>
        </w:rPr>
        <w:t xml:space="preserve"> Latvija”, SIA „Pilsētas līnijas” un SIA „</w:t>
      </w:r>
      <w:proofErr w:type="spellStart"/>
      <w:r w:rsidRPr="00637EC3">
        <w:rPr>
          <w:rFonts w:ascii="Times New Roman" w:hAnsi="Times New Roman"/>
          <w:sz w:val="24"/>
        </w:rPr>
        <w:t>Clear</w:t>
      </w:r>
      <w:proofErr w:type="spellEnd"/>
      <w:r w:rsidRPr="00637EC3">
        <w:rPr>
          <w:rFonts w:ascii="Times New Roman" w:hAnsi="Times New Roman"/>
          <w:sz w:val="24"/>
        </w:rPr>
        <w:t xml:space="preserve"> </w:t>
      </w:r>
      <w:proofErr w:type="spellStart"/>
      <w:r w:rsidRPr="00637EC3">
        <w:rPr>
          <w:rFonts w:ascii="Times New Roman" w:hAnsi="Times New Roman"/>
          <w:sz w:val="24"/>
        </w:rPr>
        <w:t>Channel</w:t>
      </w:r>
      <w:proofErr w:type="spellEnd"/>
      <w:r w:rsidRPr="00637EC3">
        <w:rPr>
          <w:rFonts w:ascii="Times New Roman" w:hAnsi="Times New Roman"/>
          <w:sz w:val="24"/>
        </w:rPr>
        <w:t xml:space="preserve"> Latvia”, starp kuriem svars ir sadalīts </w:t>
      </w:r>
      <w:r w:rsidRPr="00637EC3">
        <w:rPr>
          <w:rFonts w:ascii="Times New Roman" w:hAnsi="Times New Roman"/>
          <w:i/>
          <w:strike/>
          <w:sz w:val="24"/>
          <w:szCs w:val="24"/>
        </w:rPr>
        <w:t>vienādi (50%/50%)</w:t>
      </w:r>
      <w:r w:rsidRPr="00637EC3">
        <w:rPr>
          <w:rFonts w:ascii="Times New Roman" w:hAnsi="Times New Roman"/>
          <w:sz w:val="24"/>
        </w:rPr>
        <w:t xml:space="preserve"> </w:t>
      </w:r>
      <w:r w:rsidRPr="00637EC3">
        <w:rPr>
          <w:rFonts w:ascii="Times New Roman" w:hAnsi="Times New Roman"/>
          <w:i/>
          <w:sz w:val="24"/>
        </w:rPr>
        <w:t xml:space="preserve">proporcijā 35%/30%/35% </w:t>
      </w:r>
      <w:r w:rsidRPr="00637EC3">
        <w:rPr>
          <w:rFonts w:ascii="Times New Roman" w:hAnsi="Times New Roman"/>
          <w:i/>
          <w:sz w:val="24"/>
          <w:szCs w:val="24"/>
        </w:rPr>
        <w:t>(ar 12.12.2014.grozījumiem)</w:t>
      </w:r>
      <w:r w:rsidRPr="00637EC3">
        <w:rPr>
          <w:rFonts w:ascii="Times New Roman" w:hAnsi="Times New Roman"/>
          <w:sz w:val="24"/>
        </w:rPr>
        <w:t xml:space="preserve">, bet nav fiksēti plānotie budžeti katrā no medijiem. Tā kā no medija SIA „Pilsētas līnijas” ir prasītas 6 dažādu formātu cenas, svars starp formātiem ir sadalīts pēc to oficiālo cenu proporcijas, veidojot kopā </w:t>
      </w:r>
      <w:r w:rsidRPr="00637EC3">
        <w:rPr>
          <w:rFonts w:ascii="Times New Roman" w:hAnsi="Times New Roman"/>
          <w:i/>
          <w:strike/>
          <w:sz w:val="24"/>
          <w:szCs w:val="24"/>
        </w:rPr>
        <w:t>50%</w:t>
      </w:r>
      <w:r w:rsidRPr="00637EC3">
        <w:rPr>
          <w:rFonts w:ascii="Times New Roman" w:hAnsi="Times New Roman"/>
          <w:sz w:val="24"/>
        </w:rPr>
        <w:t xml:space="preserve"> </w:t>
      </w:r>
      <w:r w:rsidRPr="00637EC3">
        <w:rPr>
          <w:rFonts w:ascii="Times New Roman" w:hAnsi="Times New Roman"/>
          <w:i/>
          <w:sz w:val="24"/>
        </w:rPr>
        <w:t>30%</w:t>
      </w:r>
      <w:r w:rsidRPr="00637EC3">
        <w:rPr>
          <w:rFonts w:ascii="Times New Roman" w:hAnsi="Times New Roman"/>
          <w:sz w:val="24"/>
        </w:rPr>
        <w:t xml:space="preserve"> </w:t>
      </w:r>
      <w:r w:rsidRPr="00637EC3">
        <w:rPr>
          <w:rFonts w:ascii="Times New Roman" w:hAnsi="Times New Roman"/>
          <w:i/>
          <w:sz w:val="24"/>
          <w:szCs w:val="24"/>
        </w:rPr>
        <w:t>(ar 12.12.2014.grozījumiem)</w:t>
      </w:r>
      <w:r w:rsidRPr="00637EC3">
        <w:rPr>
          <w:rFonts w:ascii="Times New Roman" w:hAnsi="Times New Roman"/>
          <w:sz w:val="24"/>
        </w:rPr>
        <w:t xml:space="preserve"> (precīzus formātu svarus sk. Nolikuma 8.3.6.punktā).</w:t>
      </w:r>
      <w:r>
        <w:rPr>
          <w:rFonts w:ascii="Times New Roman" w:hAnsi="Times New Roman"/>
          <w:sz w:val="24"/>
        </w:rPr>
        <w:t>”</w:t>
      </w:r>
    </w:p>
    <w:p w:rsidR="00D14C3E" w:rsidRDefault="00D14C3E" w:rsidP="00D14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cieņu</w:t>
      </w:r>
    </w:p>
    <w:p w:rsidR="00263F33" w:rsidRPr="00D14C3E" w:rsidRDefault="00D14C3E" w:rsidP="00D35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Iepirkum</w:t>
      </w:r>
      <w:r w:rsidR="00B93B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komisija </w:t>
      </w:r>
    </w:p>
    <w:sectPr w:rsidR="00263F33" w:rsidRPr="00D14C3E" w:rsidSect="00D35515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6E61"/>
    <w:multiLevelType w:val="multilevel"/>
    <w:tmpl w:val="0D720E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9B30C72"/>
    <w:multiLevelType w:val="multilevel"/>
    <w:tmpl w:val="F9221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64308B"/>
    <w:multiLevelType w:val="multilevel"/>
    <w:tmpl w:val="EFA2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F3F0BFE"/>
    <w:multiLevelType w:val="hybridMultilevel"/>
    <w:tmpl w:val="9C201198"/>
    <w:lvl w:ilvl="0" w:tplc="C4D4887C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D5056E"/>
    <w:multiLevelType w:val="multilevel"/>
    <w:tmpl w:val="8796EF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F0"/>
    <w:rsid w:val="000F0175"/>
    <w:rsid w:val="00263F33"/>
    <w:rsid w:val="002C41F0"/>
    <w:rsid w:val="0040213F"/>
    <w:rsid w:val="004C56B8"/>
    <w:rsid w:val="0052730C"/>
    <w:rsid w:val="00553C33"/>
    <w:rsid w:val="00637EC3"/>
    <w:rsid w:val="009900DA"/>
    <w:rsid w:val="00A14558"/>
    <w:rsid w:val="00A603A7"/>
    <w:rsid w:val="00AB439E"/>
    <w:rsid w:val="00B92185"/>
    <w:rsid w:val="00B93BEF"/>
    <w:rsid w:val="00BC3AA7"/>
    <w:rsid w:val="00C67A3B"/>
    <w:rsid w:val="00C7152E"/>
    <w:rsid w:val="00CC1E8B"/>
    <w:rsid w:val="00D14C3E"/>
    <w:rsid w:val="00D35515"/>
    <w:rsid w:val="00F844EB"/>
    <w:rsid w:val="00F94BD9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3DF335-8ADE-4773-A647-867B73A1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0DA"/>
  </w:style>
  <w:style w:type="paragraph" w:styleId="Heading1">
    <w:name w:val="heading 1"/>
    <w:link w:val="Heading1Char"/>
    <w:uiPriority w:val="9"/>
    <w:qFormat/>
    <w:rsid w:val="009900DA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9900DA"/>
    <w:pPr>
      <w:spacing w:line="240" w:lineRule="auto"/>
      <w:jc w:val="both"/>
      <w:outlineLvl w:val="1"/>
    </w:pPr>
    <w:rPr>
      <w:b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9900DA"/>
    <w:pPr>
      <w:outlineLvl w:val="2"/>
    </w:pPr>
    <w:rPr>
      <w:szCs w:val="24"/>
    </w:rPr>
  </w:style>
  <w:style w:type="paragraph" w:styleId="Heading4">
    <w:name w:val="heading 4"/>
    <w:basedOn w:val="Heading3"/>
    <w:link w:val="Heading4Char"/>
    <w:uiPriority w:val="9"/>
    <w:semiHidden/>
    <w:unhideWhenUsed/>
    <w:qFormat/>
    <w:rsid w:val="009900DA"/>
    <w:pPr>
      <w:outlineLvl w:val="3"/>
    </w:pPr>
    <w:rPr>
      <w:iCs/>
    </w:rPr>
  </w:style>
  <w:style w:type="paragraph" w:styleId="Heading5">
    <w:name w:val="heading 5"/>
    <w:basedOn w:val="Heading4"/>
    <w:link w:val="Heading5Char"/>
    <w:uiPriority w:val="9"/>
    <w:semiHidden/>
    <w:unhideWhenUsed/>
    <w:qFormat/>
    <w:rsid w:val="009900DA"/>
    <w:pPr>
      <w:outlineLvl w:val="4"/>
    </w:pPr>
  </w:style>
  <w:style w:type="paragraph" w:styleId="Heading6">
    <w:name w:val="heading 6"/>
    <w:basedOn w:val="Heading5"/>
    <w:link w:val="Heading6Char"/>
    <w:uiPriority w:val="9"/>
    <w:semiHidden/>
    <w:unhideWhenUsed/>
    <w:qFormat/>
    <w:rsid w:val="009900DA"/>
    <w:pPr>
      <w:outlineLvl w:val="5"/>
    </w:pPr>
  </w:style>
  <w:style w:type="paragraph" w:styleId="Heading7">
    <w:name w:val="heading 7"/>
    <w:basedOn w:val="Heading6"/>
    <w:link w:val="Heading7Char"/>
    <w:uiPriority w:val="9"/>
    <w:semiHidden/>
    <w:unhideWhenUsed/>
    <w:qFormat/>
    <w:rsid w:val="009900DA"/>
    <w:pPr>
      <w:outlineLvl w:val="6"/>
    </w:pPr>
    <w:rPr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0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Heading8"/>
    <w:link w:val="Heading9Char"/>
    <w:uiPriority w:val="9"/>
    <w:semiHidden/>
    <w:unhideWhenUsed/>
    <w:qFormat/>
    <w:rsid w:val="009900DA"/>
    <w:pPr>
      <w:spacing w:before="0" w:line="240" w:lineRule="auto"/>
      <w:jc w:val="both"/>
      <w:outlineLvl w:val="8"/>
    </w:pPr>
    <w:rPr>
      <w:rFonts w:ascii="Times New Roman" w:hAnsi="Times New Roman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00D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900D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900DA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0DA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00DA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00DA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00DA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00DA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00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qFormat/>
    <w:rsid w:val="00FD7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1954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Džeina Gaile</dc:creator>
  <cp:keywords/>
  <dc:description/>
  <cp:lastModifiedBy>Džeina Gaile</cp:lastModifiedBy>
  <cp:revision>6</cp:revision>
  <cp:lastPrinted>2014-12-12T10:59:00Z</cp:lastPrinted>
  <dcterms:created xsi:type="dcterms:W3CDTF">2014-12-04T13:44:00Z</dcterms:created>
  <dcterms:modified xsi:type="dcterms:W3CDTF">2014-12-12T11:44:00Z</dcterms:modified>
</cp:coreProperties>
</file>