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AE6E" w14:textId="77777777" w:rsidR="009B7173" w:rsidRPr="00B464D6" w:rsidRDefault="00174CE1" w:rsidP="009B7173">
      <w:pPr>
        <w:spacing w:after="0" w:line="240" w:lineRule="auto"/>
        <w:jc w:val="right"/>
        <w:rPr>
          <w:rFonts w:cs="Times New Roman"/>
          <w:color w:val="000000"/>
          <w:sz w:val="22"/>
          <w:lang w:eastAsia="lv-LV"/>
        </w:rPr>
      </w:pPr>
      <w:r w:rsidRPr="00B464D6">
        <w:rPr>
          <w:rFonts w:cs="Times New Roman"/>
          <w:color w:val="000000"/>
          <w:sz w:val="22"/>
          <w:lang w:eastAsia="lv-LV"/>
        </w:rPr>
        <w:t>Pielikums Nr. 2.1</w:t>
      </w:r>
      <w:r w:rsidR="009B7173" w:rsidRPr="00B464D6">
        <w:rPr>
          <w:rFonts w:cs="Times New Roman"/>
          <w:color w:val="000000"/>
          <w:sz w:val="22"/>
          <w:lang w:eastAsia="lv-LV"/>
        </w:rPr>
        <w:t>.</w:t>
      </w:r>
    </w:p>
    <w:p w14:paraId="73E379D0" w14:textId="77777777" w:rsidR="009B7173" w:rsidRPr="00B464D6" w:rsidRDefault="009B7173" w:rsidP="009B7173">
      <w:pPr>
        <w:spacing w:after="0" w:line="240" w:lineRule="auto"/>
        <w:jc w:val="right"/>
        <w:rPr>
          <w:rFonts w:cs="Times New Roman"/>
          <w:bCs/>
          <w:sz w:val="22"/>
        </w:rPr>
      </w:pPr>
      <w:r w:rsidRPr="00B464D6">
        <w:rPr>
          <w:rFonts w:cs="Times New Roman"/>
          <w:bCs/>
          <w:sz w:val="22"/>
        </w:rPr>
        <w:t>nolikumam ar ID Nr. RTU-2014/194</w:t>
      </w:r>
    </w:p>
    <w:p w14:paraId="78C5282E" w14:textId="77777777" w:rsidR="009B7173" w:rsidRPr="00AF23A5" w:rsidRDefault="009B7173" w:rsidP="009B7173">
      <w:pPr>
        <w:spacing w:after="0" w:line="240" w:lineRule="auto"/>
        <w:jc w:val="right"/>
        <w:rPr>
          <w:rFonts w:cs="Times New Roman"/>
          <w:color w:val="000000"/>
          <w:lang w:eastAsia="lv-LV"/>
        </w:rPr>
      </w:pPr>
    </w:p>
    <w:p w14:paraId="3EA36439" w14:textId="77777777" w:rsidR="0083735A" w:rsidRDefault="0083735A" w:rsidP="0083735A">
      <w:pPr>
        <w:jc w:val="center"/>
        <w:rPr>
          <w:b/>
          <w:sz w:val="22"/>
        </w:rPr>
      </w:pPr>
    </w:p>
    <w:p w14:paraId="1D48ADC2" w14:textId="180B92C5" w:rsidR="0083735A" w:rsidRDefault="0083735A" w:rsidP="0083735A">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15290A">
        <w:rPr>
          <w:b/>
          <w:sz w:val="22"/>
        </w:rPr>
        <w:t>(</w:t>
      </w:r>
      <w:r>
        <w:rPr>
          <w:b/>
          <w:sz w:val="22"/>
        </w:rPr>
        <w:t>PRETENDENTA TEHNISKĀ PIEDĀVĀJUMA FORMA</w:t>
      </w:r>
      <w:r w:rsidR="0015290A">
        <w:rPr>
          <w:b/>
          <w:sz w:val="22"/>
        </w:rPr>
        <w:t>)</w:t>
      </w:r>
      <w:bookmarkStart w:id="0" w:name="_GoBack"/>
      <w:bookmarkEnd w:id="0"/>
    </w:p>
    <w:p w14:paraId="083EB728" w14:textId="6A1416E8" w:rsidR="0083735A" w:rsidRDefault="0083735A" w:rsidP="0083735A">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w:t>
      </w:r>
      <w:r w:rsidR="00F2522E">
        <w:rPr>
          <w:b/>
          <w:bCs/>
          <w:sz w:val="22"/>
        </w:rPr>
        <w:t xml:space="preserve">orijas materiālu </w:t>
      </w:r>
      <w:r w:rsidRPr="00D709AF">
        <w:rPr>
          <w:b/>
          <w:bCs/>
          <w:sz w:val="22"/>
        </w:rPr>
        <w:t>iegāde</w:t>
      </w:r>
      <w:r w:rsidRPr="008B370C">
        <w:rPr>
          <w:b/>
          <w:bCs/>
          <w:sz w:val="22"/>
        </w:rPr>
        <w:t>”</w:t>
      </w:r>
    </w:p>
    <w:p w14:paraId="69053E8A" w14:textId="54A715E7" w:rsidR="0083735A" w:rsidRDefault="0083735A" w:rsidP="0083735A">
      <w:pPr>
        <w:spacing w:after="0" w:line="240" w:lineRule="auto"/>
        <w:jc w:val="both"/>
        <w:rPr>
          <w:rFonts w:eastAsia="MS Mincho" w:cs="Times New Roman"/>
          <w:b/>
          <w:i/>
          <w:sz w:val="22"/>
          <w:lang w:eastAsia="lv-LV"/>
        </w:rPr>
      </w:pPr>
      <w:r w:rsidRPr="001A2D0A">
        <w:rPr>
          <w:rFonts w:eastAsia="Times New Roman" w:cs="Times New Roman"/>
          <w:b/>
          <w:iCs/>
          <w:color w:val="000000"/>
          <w:sz w:val="22"/>
          <w:lang w:eastAsia="lv-LV"/>
        </w:rPr>
        <w:t>Daļa</w:t>
      </w:r>
      <w:r w:rsidR="00DC5C07">
        <w:rPr>
          <w:rFonts w:eastAsia="Times New Roman" w:cs="Times New Roman"/>
          <w:b/>
          <w:iCs/>
          <w:color w:val="000000"/>
          <w:sz w:val="22"/>
          <w:lang w:eastAsia="lv-LV"/>
        </w:rPr>
        <w:t>i</w:t>
      </w:r>
      <w:r w:rsidRPr="001A2D0A">
        <w:rPr>
          <w:rFonts w:eastAsia="Times New Roman" w:cs="Times New Roman"/>
          <w:b/>
          <w:iCs/>
          <w:color w:val="000000"/>
          <w:sz w:val="22"/>
          <w:lang w:eastAsia="lv-LV"/>
        </w:rPr>
        <w:t xml:space="preserve"> Nr. 1 “</w:t>
      </w:r>
      <w:r w:rsidRPr="001A2D0A">
        <w:rPr>
          <w:rFonts w:eastAsia="MS Mincho" w:cs="Times New Roman"/>
          <w:b/>
          <w:i/>
          <w:sz w:val="22"/>
          <w:lang w:eastAsia="lv-LV"/>
        </w:rPr>
        <w:t xml:space="preserve">Laboratorijas materiālu iegāde projekta "Inovatīvās </w:t>
      </w:r>
      <w:proofErr w:type="spellStart"/>
      <w:r w:rsidRPr="001A2D0A">
        <w:rPr>
          <w:rFonts w:eastAsia="MS Mincho" w:cs="Times New Roman"/>
          <w:b/>
          <w:i/>
          <w:sz w:val="22"/>
          <w:lang w:eastAsia="lv-LV"/>
        </w:rPr>
        <w:t>divkomponentu</w:t>
      </w:r>
      <w:proofErr w:type="spellEnd"/>
      <w:r w:rsidRPr="001A2D0A">
        <w:rPr>
          <w:rFonts w:eastAsia="MS Mincho" w:cs="Times New Roman"/>
          <w:b/>
          <w:i/>
          <w:sz w:val="22"/>
          <w:lang w:eastAsia="lv-LV"/>
        </w:rPr>
        <w:t xml:space="preserve"> sistēmas uz </w:t>
      </w:r>
      <w:proofErr w:type="spellStart"/>
      <w:r w:rsidRPr="001A2D0A">
        <w:rPr>
          <w:rFonts w:eastAsia="MS Mincho" w:cs="Times New Roman"/>
          <w:b/>
          <w:i/>
          <w:sz w:val="22"/>
          <w:lang w:eastAsia="lv-LV"/>
        </w:rPr>
        <w:t>silil</w:t>
      </w:r>
      <w:proofErr w:type="spellEnd"/>
      <w:r w:rsidRPr="001A2D0A">
        <w:rPr>
          <w:rFonts w:eastAsia="MS Mincho" w:cs="Times New Roman"/>
          <w:b/>
          <w:i/>
          <w:sz w:val="22"/>
          <w:lang w:eastAsia="lv-LV"/>
        </w:rPr>
        <w:t xml:space="preserve">-terminētu polimēru bāzes perspektīva pielietojuma </w:t>
      </w:r>
      <w:proofErr w:type="spellStart"/>
      <w:r w:rsidRPr="001A2D0A">
        <w:rPr>
          <w:rFonts w:eastAsia="MS Mincho" w:cs="Times New Roman"/>
          <w:b/>
          <w:i/>
          <w:sz w:val="22"/>
          <w:lang w:eastAsia="lv-LV"/>
        </w:rPr>
        <w:t>hermētiķiem</w:t>
      </w:r>
      <w:proofErr w:type="spellEnd"/>
      <w:r w:rsidRPr="001A2D0A">
        <w:rPr>
          <w:rFonts w:eastAsia="MS Mincho" w:cs="Times New Roman"/>
          <w:b/>
          <w:i/>
          <w:sz w:val="22"/>
          <w:lang w:eastAsia="lv-LV"/>
        </w:rPr>
        <w:t xml:space="preserve"> un </w:t>
      </w:r>
      <w:proofErr w:type="spellStart"/>
      <w:r w:rsidRPr="001A2D0A">
        <w:rPr>
          <w:rFonts w:eastAsia="MS Mincho" w:cs="Times New Roman"/>
          <w:b/>
          <w:i/>
          <w:sz w:val="22"/>
          <w:lang w:eastAsia="lv-LV"/>
        </w:rPr>
        <w:t>adhezīviem</w:t>
      </w:r>
      <w:proofErr w:type="spellEnd"/>
      <w:r w:rsidRPr="001A2D0A">
        <w:rPr>
          <w:rFonts w:eastAsia="MS Mincho" w:cs="Times New Roman"/>
          <w:b/>
          <w:i/>
          <w:sz w:val="22"/>
          <w:lang w:eastAsia="lv-LV"/>
        </w:rPr>
        <w:t>", vienošanās Nr. 2013/0070/2DP/2.1.1.1.0/13/APIA/VIAA/004,  vajadzībām.”</w:t>
      </w:r>
    </w:p>
    <w:p w14:paraId="47092C8E" w14:textId="77777777" w:rsidR="0072281B" w:rsidRPr="001A2D0A" w:rsidRDefault="0072281B" w:rsidP="0083735A">
      <w:pPr>
        <w:spacing w:after="0" w:line="240" w:lineRule="auto"/>
        <w:jc w:val="both"/>
        <w:rPr>
          <w:rFonts w:eastAsia="MS Mincho" w:cs="Times New Roman"/>
          <w:b/>
          <w:sz w:val="22"/>
          <w:lang w:eastAsia="lv-LV"/>
        </w:rPr>
      </w:pPr>
    </w:p>
    <w:p w14:paraId="07FA27DD" w14:textId="77777777" w:rsidR="0083735A" w:rsidRPr="0012538A" w:rsidRDefault="0083735A" w:rsidP="00CC6B7F">
      <w:pPr>
        <w:pStyle w:val="ListParagraph"/>
        <w:numPr>
          <w:ilvl w:val="0"/>
          <w:numId w:val="1"/>
        </w:numPr>
        <w:tabs>
          <w:tab w:val="left" w:pos="709"/>
        </w:tabs>
        <w:spacing w:line="240" w:lineRule="auto"/>
        <w:ind w:left="709" w:hanging="567"/>
        <w:rPr>
          <w:i/>
          <w:sz w:val="22"/>
        </w:rPr>
      </w:pPr>
      <w:r w:rsidRPr="0012538A">
        <w:rPr>
          <w:i/>
          <w:sz w:val="22"/>
        </w:rPr>
        <w:t xml:space="preserve">Preču piegādi un izkraušanu pretendents veic Pasūtītāja telpās Pasūtītāja atbildīgās personas klātbūtnē. </w:t>
      </w:r>
    </w:p>
    <w:p w14:paraId="22D7FC17" w14:textId="77777777" w:rsidR="0083735A" w:rsidRPr="0012538A" w:rsidRDefault="0083735A" w:rsidP="00CC6B7F">
      <w:pPr>
        <w:pStyle w:val="ListParagraph"/>
        <w:numPr>
          <w:ilvl w:val="0"/>
          <w:numId w:val="1"/>
        </w:numPr>
        <w:tabs>
          <w:tab w:val="left" w:pos="709"/>
        </w:tabs>
        <w:spacing w:line="240" w:lineRule="auto"/>
        <w:ind w:left="709" w:hanging="567"/>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14:paraId="52EEB7AD" w14:textId="471F7F61" w:rsidR="0083735A" w:rsidRDefault="0083735A" w:rsidP="00CC6B7F">
      <w:pPr>
        <w:pStyle w:val="ListParagraph"/>
        <w:numPr>
          <w:ilvl w:val="0"/>
          <w:numId w:val="1"/>
        </w:numPr>
        <w:tabs>
          <w:tab w:val="left" w:pos="709"/>
        </w:tabs>
        <w:spacing w:line="240" w:lineRule="auto"/>
        <w:ind w:left="709" w:hanging="567"/>
        <w:rPr>
          <w:i/>
          <w:sz w:val="22"/>
        </w:rPr>
      </w:pPr>
      <w:r w:rsidRPr="0012538A">
        <w:rPr>
          <w:i/>
          <w:sz w:val="22"/>
        </w:rPr>
        <w:t>Precēm jābūt jaunām un iepriekš nelietotām.</w:t>
      </w:r>
      <w:r w:rsidRPr="00BC736C">
        <w:rPr>
          <w:i/>
          <w:sz w:val="22"/>
          <w:lang w:val="lv-LV"/>
        </w:rPr>
        <w:t xml:space="preserve"> Piegādātājam jāgarantē,</w:t>
      </w:r>
      <w:r w:rsidRPr="00BC736C">
        <w:rPr>
          <w:i/>
          <w:sz w:val="22"/>
        </w:rPr>
        <w:t xml:space="preserve">ka </w:t>
      </w:r>
      <w:r w:rsidRPr="00BC736C">
        <w:rPr>
          <w:i/>
          <w:sz w:val="22"/>
          <w:lang w:val="lv-LV"/>
        </w:rPr>
        <w:t>Preču</w:t>
      </w:r>
      <w:r w:rsidRPr="00BC736C">
        <w:rPr>
          <w:i/>
          <w:sz w:val="22"/>
        </w:rPr>
        <w:t xml:space="preserve"> piegādes brīdī Pasūtītājam tiks iesniegta dokumentācija, kas satur produkta raksturojumu, īpašības, lietošanas un uzglabāšanas noteikumus un pielietojumu</w:t>
      </w:r>
      <w:r>
        <w:rPr>
          <w:i/>
          <w:sz w:val="22"/>
          <w:lang w:val="lv-LV"/>
        </w:rPr>
        <w:t>.</w:t>
      </w:r>
    </w:p>
    <w:p w14:paraId="58F48504" w14:textId="6E0BF584" w:rsidR="007C0556" w:rsidRDefault="007C0556" w:rsidP="007C0556">
      <w:pPr>
        <w:pStyle w:val="ListParagraph"/>
        <w:numPr>
          <w:ilvl w:val="0"/>
          <w:numId w:val="1"/>
        </w:numPr>
        <w:tabs>
          <w:tab w:val="left" w:pos="709"/>
          <w:tab w:val="left" w:pos="851"/>
        </w:tabs>
        <w:spacing w:line="240" w:lineRule="auto"/>
        <w:ind w:hanging="578"/>
        <w:rPr>
          <w:i/>
          <w:sz w:val="22"/>
        </w:rPr>
      </w:pPr>
      <w:r w:rsidRPr="007C0556">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lang w:val="lv-LV"/>
        </w:rPr>
        <w:t>.</w:t>
      </w:r>
    </w:p>
    <w:p w14:paraId="2B093FF7" w14:textId="56E36EBC" w:rsidR="0083735A" w:rsidRDefault="0083735A" w:rsidP="00CC6B7F">
      <w:pPr>
        <w:pStyle w:val="ListParagraph"/>
        <w:numPr>
          <w:ilvl w:val="0"/>
          <w:numId w:val="1"/>
        </w:numPr>
        <w:tabs>
          <w:tab w:val="left" w:pos="709"/>
          <w:tab w:val="left" w:pos="851"/>
        </w:tabs>
        <w:spacing w:line="240" w:lineRule="auto"/>
        <w:ind w:left="709" w:hanging="567"/>
        <w:rPr>
          <w:i/>
          <w:sz w:val="22"/>
        </w:rPr>
      </w:pPr>
      <w:r w:rsidRPr="00006AF2">
        <w:rPr>
          <w:i/>
          <w:sz w:val="22"/>
        </w:rPr>
        <w:t>Tehniskajā piedāvājumā piedāvājot ekvivalentu preci, Piegādātājam jāpierāda tās ekvivalentums.</w:t>
      </w:r>
      <w:r w:rsidR="00CC6B7F" w:rsidRPr="00CC6B7F">
        <w:t xml:space="preserve"> </w:t>
      </w:r>
      <w:r w:rsidR="00CC6B7F" w:rsidRPr="00CC6B7F">
        <w:rPr>
          <w:i/>
          <w:sz w:val="22"/>
        </w:rPr>
        <w:t>Par ekvivalentu šī konkursa ietvaros piegādājamajai precei tiks uzskatīta prece, kura ir ekvivalenta pieprasītajai pēc tās funkcionalitātes.</w:t>
      </w:r>
      <w:r w:rsidR="00A56004">
        <w:rPr>
          <w:i/>
          <w:sz w:val="22"/>
          <w:lang w:val="lv-LV"/>
        </w:rPr>
        <w:t xml:space="preserve"> </w:t>
      </w:r>
      <w:r w:rsidR="00CC6B7F" w:rsidRPr="00CC6B7F">
        <w:rPr>
          <w:i/>
          <w:sz w:val="22"/>
        </w:rPr>
        <w:t>Precei jābūt arī ekonomiski ekvivalentai attiecībā uz izmaksām, kas varētu rasties preces ieviešanas un lietošanas laikā.</w:t>
      </w:r>
    </w:p>
    <w:p w14:paraId="1CE7B196" w14:textId="77777777" w:rsidR="0083735A" w:rsidRPr="00BC736C" w:rsidRDefault="0083735A" w:rsidP="00CC6B7F">
      <w:pPr>
        <w:pStyle w:val="ListParagraph"/>
        <w:numPr>
          <w:ilvl w:val="0"/>
          <w:numId w:val="1"/>
        </w:numPr>
        <w:tabs>
          <w:tab w:val="left" w:pos="709"/>
        </w:tabs>
        <w:spacing w:line="240" w:lineRule="auto"/>
        <w:ind w:left="709" w:hanging="567"/>
        <w:rPr>
          <w:i/>
          <w:sz w:val="22"/>
        </w:rPr>
      </w:pPr>
      <w:r w:rsidRPr="00006AF2">
        <w:rPr>
          <w:i/>
          <w:sz w:val="22"/>
        </w:rPr>
        <w:t xml:space="preserve">Pasūtītājam ir tiesības </w:t>
      </w:r>
      <w:r>
        <w:rPr>
          <w:i/>
          <w:sz w:val="22"/>
          <w:lang w:val="lv-LV"/>
        </w:rPr>
        <w:t>P</w:t>
      </w:r>
      <w:r w:rsidRPr="00006AF2">
        <w:rPr>
          <w:i/>
          <w:sz w:val="22"/>
        </w:rPr>
        <w:t xml:space="preserve">reci pasūtīt pa daļām pēc vajadzības. Preču piegāde jāveic </w:t>
      </w:r>
      <w:r>
        <w:rPr>
          <w:i/>
          <w:sz w:val="22"/>
          <w:lang w:val="lv-LV"/>
        </w:rPr>
        <w:t>ne vairāk kā 14 kalendāro dienu</w:t>
      </w:r>
      <w:r>
        <w:rPr>
          <w:i/>
          <w:sz w:val="22"/>
        </w:rPr>
        <w:t xml:space="preserve"> laikā no P</w:t>
      </w:r>
      <w:r w:rsidRPr="00006AF2">
        <w:rPr>
          <w:i/>
          <w:sz w:val="22"/>
        </w:rPr>
        <w:t>reces pasūtīšanas brīža.</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520"/>
        <w:gridCol w:w="4767"/>
        <w:gridCol w:w="1139"/>
        <w:gridCol w:w="992"/>
        <w:gridCol w:w="4442"/>
      </w:tblGrid>
      <w:tr w:rsidR="009B7173" w:rsidRPr="00174CE1" w14:paraId="4F04E7FA" w14:textId="77777777" w:rsidTr="00677849">
        <w:trPr>
          <w:trHeight w:val="1408"/>
        </w:trPr>
        <w:tc>
          <w:tcPr>
            <w:tcW w:w="883" w:type="dxa"/>
            <w:shd w:val="clear" w:color="auto" w:fill="auto"/>
            <w:hideMark/>
          </w:tcPr>
          <w:p w14:paraId="559DE1F7" w14:textId="77777777" w:rsidR="009B7173" w:rsidRPr="00174CE1" w:rsidRDefault="009B7173" w:rsidP="00174CE1">
            <w:pPr>
              <w:spacing w:after="0" w:line="240" w:lineRule="auto"/>
              <w:jc w:val="center"/>
              <w:rPr>
                <w:rFonts w:eastAsia="Times New Roman" w:cs="Times New Roman"/>
                <w:b/>
                <w:color w:val="000000"/>
                <w:sz w:val="20"/>
                <w:szCs w:val="20"/>
                <w:lang w:eastAsia="lv-LV"/>
              </w:rPr>
            </w:pPr>
            <w:proofErr w:type="spellStart"/>
            <w:r w:rsidRPr="00174CE1">
              <w:rPr>
                <w:rFonts w:eastAsia="Times New Roman" w:cs="Times New Roman"/>
                <w:b/>
                <w:color w:val="000000"/>
                <w:sz w:val="20"/>
                <w:szCs w:val="20"/>
                <w:lang w:eastAsia="lv-LV"/>
              </w:rPr>
              <w:t>Nr.p.k</w:t>
            </w:r>
            <w:proofErr w:type="spellEnd"/>
            <w:r w:rsidRPr="00174CE1">
              <w:rPr>
                <w:rFonts w:eastAsia="Times New Roman" w:cs="Times New Roman"/>
                <w:b/>
                <w:color w:val="000000"/>
                <w:sz w:val="20"/>
                <w:szCs w:val="20"/>
                <w:lang w:eastAsia="lv-LV"/>
              </w:rPr>
              <w:t>.</w:t>
            </w:r>
          </w:p>
        </w:tc>
        <w:tc>
          <w:tcPr>
            <w:tcW w:w="2520" w:type="dxa"/>
            <w:shd w:val="clear" w:color="auto" w:fill="auto"/>
            <w:noWrap/>
            <w:hideMark/>
          </w:tcPr>
          <w:p w14:paraId="24F2A450" w14:textId="77777777" w:rsidR="009B7173" w:rsidRPr="00174CE1" w:rsidRDefault="009B7173" w:rsidP="00174CE1">
            <w:pPr>
              <w:spacing w:after="0" w:line="240" w:lineRule="auto"/>
              <w:jc w:val="center"/>
              <w:rPr>
                <w:rFonts w:eastAsia="Times New Roman" w:cs="Times New Roman"/>
                <w:b/>
                <w:color w:val="000000"/>
                <w:sz w:val="20"/>
                <w:szCs w:val="20"/>
                <w:lang w:eastAsia="lv-LV"/>
              </w:rPr>
            </w:pPr>
            <w:r w:rsidRPr="00174CE1">
              <w:rPr>
                <w:rFonts w:eastAsia="Times New Roman" w:cs="Times New Roman"/>
                <w:b/>
                <w:color w:val="000000"/>
                <w:sz w:val="20"/>
                <w:szCs w:val="20"/>
                <w:lang w:eastAsia="lv-LV"/>
              </w:rPr>
              <w:t>Nosaukums</w:t>
            </w:r>
          </w:p>
        </w:tc>
        <w:tc>
          <w:tcPr>
            <w:tcW w:w="4767" w:type="dxa"/>
            <w:shd w:val="clear" w:color="auto" w:fill="auto"/>
            <w:noWrap/>
            <w:hideMark/>
          </w:tcPr>
          <w:p w14:paraId="0B9653E7" w14:textId="5D2ADDE5" w:rsidR="009B7173" w:rsidRPr="00174CE1" w:rsidRDefault="009B7173" w:rsidP="00174CE1">
            <w:pPr>
              <w:spacing w:after="0" w:line="240" w:lineRule="auto"/>
              <w:jc w:val="center"/>
              <w:rPr>
                <w:rFonts w:eastAsia="Times New Roman" w:cs="Times New Roman"/>
                <w:b/>
                <w:color w:val="000000"/>
                <w:sz w:val="20"/>
                <w:szCs w:val="20"/>
                <w:lang w:eastAsia="lv-LV"/>
              </w:rPr>
            </w:pPr>
            <w:r w:rsidRPr="00174CE1">
              <w:rPr>
                <w:rFonts w:eastAsia="Times New Roman" w:cs="Times New Roman"/>
                <w:b/>
                <w:color w:val="000000"/>
                <w:sz w:val="20"/>
                <w:szCs w:val="20"/>
                <w:lang w:eastAsia="lv-LV"/>
              </w:rPr>
              <w:t>Tehniskā specifikācija</w:t>
            </w:r>
            <w:r w:rsidR="007B1DE0">
              <w:rPr>
                <w:rFonts w:eastAsia="Times New Roman" w:cs="Times New Roman"/>
                <w:b/>
                <w:color w:val="000000"/>
                <w:sz w:val="20"/>
                <w:szCs w:val="20"/>
                <w:lang w:eastAsia="lv-LV"/>
              </w:rPr>
              <w:t>/ minimālās tehniskās prasības</w:t>
            </w:r>
          </w:p>
        </w:tc>
        <w:tc>
          <w:tcPr>
            <w:tcW w:w="1139" w:type="dxa"/>
            <w:shd w:val="clear" w:color="auto" w:fill="auto"/>
            <w:hideMark/>
          </w:tcPr>
          <w:p w14:paraId="211D794C" w14:textId="77777777" w:rsidR="009B7173" w:rsidRPr="00174CE1" w:rsidRDefault="009B7173" w:rsidP="00174CE1">
            <w:pPr>
              <w:spacing w:after="0" w:line="240" w:lineRule="auto"/>
              <w:jc w:val="center"/>
              <w:rPr>
                <w:rFonts w:eastAsia="Times New Roman" w:cs="Times New Roman"/>
                <w:b/>
                <w:color w:val="000000"/>
                <w:sz w:val="20"/>
                <w:szCs w:val="20"/>
                <w:lang w:eastAsia="lv-LV"/>
              </w:rPr>
            </w:pPr>
            <w:r w:rsidRPr="00174CE1">
              <w:rPr>
                <w:rFonts w:eastAsia="Times New Roman" w:cs="Times New Roman"/>
                <w:b/>
                <w:color w:val="000000"/>
                <w:sz w:val="20"/>
                <w:szCs w:val="20"/>
                <w:lang w:eastAsia="lv-LV"/>
              </w:rPr>
              <w:t>Vienības</w:t>
            </w:r>
          </w:p>
        </w:tc>
        <w:tc>
          <w:tcPr>
            <w:tcW w:w="992" w:type="dxa"/>
            <w:shd w:val="clear" w:color="auto" w:fill="auto"/>
            <w:hideMark/>
          </w:tcPr>
          <w:p w14:paraId="02C30AD1" w14:textId="77777777" w:rsidR="009B7173" w:rsidRPr="00174CE1" w:rsidRDefault="009B7173" w:rsidP="00174CE1">
            <w:pPr>
              <w:spacing w:after="0" w:line="240" w:lineRule="auto"/>
              <w:jc w:val="center"/>
              <w:rPr>
                <w:rFonts w:eastAsia="Times New Roman" w:cs="Times New Roman"/>
                <w:b/>
                <w:color w:val="000000"/>
                <w:sz w:val="20"/>
                <w:szCs w:val="20"/>
                <w:lang w:eastAsia="lv-LV"/>
              </w:rPr>
            </w:pPr>
            <w:r w:rsidRPr="00174CE1">
              <w:rPr>
                <w:rFonts w:eastAsia="Times New Roman" w:cs="Times New Roman"/>
                <w:b/>
                <w:color w:val="000000"/>
                <w:sz w:val="20"/>
                <w:szCs w:val="20"/>
                <w:lang w:eastAsia="lv-LV"/>
              </w:rPr>
              <w:t>Apjoms</w:t>
            </w:r>
          </w:p>
        </w:tc>
        <w:tc>
          <w:tcPr>
            <w:tcW w:w="4442" w:type="dxa"/>
          </w:tcPr>
          <w:p w14:paraId="0F829BDE" w14:textId="77777777" w:rsidR="009B7173" w:rsidRPr="00174CE1" w:rsidRDefault="009B7173" w:rsidP="00174CE1">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 xml:space="preserve">Tehniskais piedāvājums </w:t>
            </w:r>
            <w:r w:rsidR="00A146C7" w:rsidRPr="00174CE1">
              <w:rPr>
                <w:rFonts w:cs="Times New Roman"/>
                <w:b/>
                <w:bCs/>
                <w:sz w:val="20"/>
                <w:szCs w:val="20"/>
              </w:rPr>
              <w:t>/</w:t>
            </w:r>
            <w:r w:rsidR="00A146C7" w:rsidRPr="00174CE1">
              <w:rPr>
                <w:rFonts w:eastAsia="Times New Roman" w:cs="Times New Roman"/>
                <w:b/>
                <w:bCs/>
                <w:color w:val="000000"/>
                <w:sz w:val="20"/>
                <w:szCs w:val="20"/>
                <w:lang w:eastAsia="lv-LV"/>
              </w:rPr>
              <w:t>ražotāja garantijas nosacījumi*</w:t>
            </w:r>
          </w:p>
          <w:p w14:paraId="09D70BD1" w14:textId="03A4121A" w:rsidR="0093574D" w:rsidRPr="00E177F4" w:rsidRDefault="00F14313" w:rsidP="0093574D">
            <w:pPr>
              <w:spacing w:after="0" w:line="240" w:lineRule="auto"/>
              <w:jc w:val="both"/>
              <w:rPr>
                <w:rFonts w:cs="Times New Roman"/>
                <w:bCs/>
                <w:i/>
                <w:sz w:val="20"/>
                <w:szCs w:val="20"/>
              </w:rPr>
            </w:pPr>
            <w:r>
              <w:rPr>
                <w:rFonts w:cs="Times New Roman"/>
                <w:bCs/>
                <w:i/>
                <w:sz w:val="20"/>
                <w:szCs w:val="20"/>
              </w:rPr>
              <w:t>Norādīt p</w:t>
            </w:r>
            <w:r w:rsidR="0093574D" w:rsidRPr="00E177F4">
              <w:rPr>
                <w:rFonts w:cs="Times New Roman"/>
                <w:bCs/>
                <w:i/>
                <w:sz w:val="20"/>
                <w:szCs w:val="20"/>
              </w:rPr>
              <w:t>reces ražot</w:t>
            </w:r>
            <w:r>
              <w:rPr>
                <w:rFonts w:cs="Times New Roman"/>
                <w:bCs/>
                <w:i/>
                <w:sz w:val="20"/>
                <w:szCs w:val="20"/>
              </w:rPr>
              <w:t>āju, nosaukumu</w:t>
            </w:r>
            <w:r w:rsidR="0093574D">
              <w:rPr>
                <w:rFonts w:cs="Times New Roman"/>
                <w:bCs/>
                <w:i/>
                <w:sz w:val="20"/>
                <w:szCs w:val="20"/>
              </w:rPr>
              <w:t xml:space="preserve"> (ja ir)</w:t>
            </w:r>
            <w:r>
              <w:rPr>
                <w:rFonts w:cs="Times New Roman"/>
                <w:bCs/>
                <w:i/>
                <w:sz w:val="20"/>
                <w:szCs w:val="20"/>
              </w:rPr>
              <w:t>,</w:t>
            </w:r>
            <w:r w:rsidR="0093574D">
              <w:rPr>
                <w:rFonts w:cs="Times New Roman"/>
                <w:bCs/>
                <w:i/>
                <w:sz w:val="20"/>
                <w:szCs w:val="20"/>
              </w:rPr>
              <w:t xml:space="preserve"> </w:t>
            </w:r>
            <w:r w:rsidR="0093574D" w:rsidRPr="00E177F4">
              <w:rPr>
                <w:rFonts w:cs="Times New Roman"/>
                <w:bCs/>
                <w:i/>
                <w:sz w:val="20"/>
                <w:szCs w:val="20"/>
              </w:rPr>
              <w:t>tehnisko informāciju, kas apliecina katra</w:t>
            </w:r>
            <w:r w:rsidR="0093574D">
              <w:rPr>
                <w:rFonts w:cs="Times New Roman"/>
                <w:bCs/>
                <w:i/>
                <w:sz w:val="20"/>
                <w:szCs w:val="20"/>
              </w:rPr>
              <w:t>s prasības (parametra) izpildi*</w:t>
            </w:r>
            <w:r>
              <w:rPr>
                <w:rFonts w:cs="Times New Roman"/>
                <w:bCs/>
                <w:i/>
                <w:sz w:val="20"/>
                <w:szCs w:val="20"/>
              </w:rPr>
              <w:t>*</w:t>
            </w:r>
            <w:r w:rsidR="0093574D">
              <w:rPr>
                <w:rFonts w:cs="Times New Roman"/>
                <w:bCs/>
                <w:i/>
                <w:sz w:val="20"/>
                <w:szCs w:val="20"/>
              </w:rPr>
              <w:t>).</w:t>
            </w:r>
          </w:p>
          <w:p w14:paraId="19ED0767" w14:textId="77777777" w:rsidR="0093574D" w:rsidRPr="00E177F4" w:rsidRDefault="0093574D" w:rsidP="0093574D">
            <w:pPr>
              <w:spacing w:after="0" w:line="240" w:lineRule="auto"/>
              <w:jc w:val="both"/>
              <w:rPr>
                <w:rFonts w:cs="Times New Roman"/>
                <w:sz w:val="16"/>
              </w:rPr>
            </w:pPr>
            <w:r w:rsidRPr="00E177F4">
              <w:rPr>
                <w:rFonts w:cs="Times New Roman"/>
                <w:sz w:val="16"/>
              </w:rPr>
              <w:t>* ja Tehniskajā piedāvājumā netiek norādīti ražotāja garantijas nosacījumi, tad Iepirkuma komisija uzskatīs, ka ražotājs neparedz garantijas nosacījumus.</w:t>
            </w:r>
          </w:p>
          <w:p w14:paraId="4C82BFCD" w14:textId="5FB96D59" w:rsidR="009B7173" w:rsidRPr="005E5F71" w:rsidRDefault="0093574D" w:rsidP="0093574D">
            <w:pPr>
              <w:spacing w:after="0" w:line="240" w:lineRule="auto"/>
              <w:jc w:val="both"/>
              <w:rPr>
                <w:rFonts w:eastAsia="Times New Roman" w:cs="Times New Roman"/>
                <w:b/>
                <w:color w:val="000000"/>
                <w:sz w:val="16"/>
                <w:szCs w:val="16"/>
                <w:lang w:eastAsia="lv-LV"/>
              </w:rPr>
            </w:pPr>
            <w:r w:rsidRPr="00E177F4">
              <w:rPr>
                <w:rFonts w:cs="Times New Roman"/>
                <w:bCs/>
                <w:sz w:val="16"/>
                <w:szCs w:val="16"/>
              </w:rPr>
              <w:t>*</w:t>
            </w:r>
            <w:r w:rsidR="00F14313">
              <w:rPr>
                <w:rFonts w:cs="Times New Roman"/>
                <w:bCs/>
                <w:sz w:val="16"/>
                <w:szCs w:val="16"/>
              </w:rPr>
              <w:t>*</w:t>
            </w:r>
            <w:r w:rsidRPr="00E177F4">
              <w:rPr>
                <w:rFonts w:cs="Times New Roman"/>
                <w:bCs/>
                <w:sz w:val="16"/>
                <w:szCs w:val="16"/>
              </w:rPr>
              <w:t>Pretendenta aizpildīta aile, kurā būs rakstīts tikai "atbilst", tiks uzskatīta par nepietiekošu informāciju.)</w:t>
            </w:r>
          </w:p>
        </w:tc>
      </w:tr>
      <w:tr w:rsidR="001A2D0A" w:rsidRPr="00A24D5E" w14:paraId="61C9FA7C" w14:textId="77777777" w:rsidTr="00FD02D7">
        <w:trPr>
          <w:trHeight w:val="945"/>
        </w:trPr>
        <w:tc>
          <w:tcPr>
            <w:tcW w:w="883" w:type="dxa"/>
            <w:shd w:val="clear" w:color="auto" w:fill="auto"/>
            <w:noWrap/>
            <w:hideMark/>
          </w:tcPr>
          <w:p w14:paraId="0A443DC3"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lastRenderedPageBreak/>
              <w:t>1</w:t>
            </w:r>
          </w:p>
        </w:tc>
        <w:tc>
          <w:tcPr>
            <w:tcW w:w="2520" w:type="dxa"/>
            <w:shd w:val="clear" w:color="auto" w:fill="auto"/>
            <w:noWrap/>
            <w:hideMark/>
          </w:tcPr>
          <w:p w14:paraId="77021071"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 xml:space="preserve">Paraugu turētāji virsmas </w:t>
            </w:r>
            <w:proofErr w:type="spellStart"/>
            <w:r w:rsidRPr="00174CE1">
              <w:rPr>
                <w:rFonts w:cs="Times New Roman"/>
                <w:color w:val="000000"/>
                <w:sz w:val="20"/>
                <w:szCs w:val="20"/>
              </w:rPr>
              <w:t>zeta</w:t>
            </w:r>
            <w:proofErr w:type="spellEnd"/>
            <w:r w:rsidRPr="00174CE1">
              <w:rPr>
                <w:rFonts w:cs="Times New Roman"/>
                <w:color w:val="000000"/>
                <w:sz w:val="20"/>
                <w:szCs w:val="20"/>
              </w:rPr>
              <w:t xml:space="preserve"> potenciāla mērījumiem</w:t>
            </w:r>
          </w:p>
          <w:p w14:paraId="253DBE81" w14:textId="77777777" w:rsidR="001A2D0A" w:rsidRPr="00174CE1" w:rsidRDefault="001A2D0A" w:rsidP="001A2D0A">
            <w:pPr>
              <w:spacing w:after="0" w:line="240" w:lineRule="auto"/>
              <w:jc w:val="both"/>
              <w:rPr>
                <w:rFonts w:eastAsia="Times New Roman" w:cs="Times New Roman"/>
                <w:color w:val="000000"/>
                <w:sz w:val="20"/>
                <w:szCs w:val="20"/>
                <w:lang w:eastAsia="lv-LV"/>
              </w:rPr>
            </w:pPr>
          </w:p>
        </w:tc>
        <w:tc>
          <w:tcPr>
            <w:tcW w:w="4767" w:type="dxa"/>
            <w:shd w:val="clear" w:color="auto" w:fill="auto"/>
            <w:vAlign w:val="bottom"/>
            <w:hideMark/>
          </w:tcPr>
          <w:p w14:paraId="4CC233A7"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 xml:space="preserve">Paraugu turētāji ar U veida iegriezumu virsmas Zeta Potenciāla mērījumiem, savienojami ar  </w:t>
            </w:r>
            <w:proofErr w:type="spellStart"/>
            <w:r w:rsidRPr="00174CE1">
              <w:rPr>
                <w:rFonts w:cs="Times New Roman"/>
                <w:color w:val="000000"/>
                <w:sz w:val="20"/>
                <w:szCs w:val="20"/>
              </w:rPr>
              <w:t>Malvern</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Zetasizer</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Nano</w:t>
            </w:r>
            <w:proofErr w:type="spellEnd"/>
            <w:r w:rsidRPr="00174CE1">
              <w:rPr>
                <w:rFonts w:cs="Times New Roman"/>
                <w:color w:val="000000"/>
                <w:sz w:val="20"/>
                <w:szCs w:val="20"/>
              </w:rPr>
              <w:t xml:space="preserve"> ZS90 iekārtu. Materiāls: </w:t>
            </w:r>
            <w:proofErr w:type="spellStart"/>
            <w:r w:rsidRPr="00174CE1">
              <w:rPr>
                <w:rFonts w:cs="Times New Roman"/>
                <w:color w:val="000000"/>
                <w:sz w:val="20"/>
                <w:szCs w:val="20"/>
              </w:rPr>
              <w:t>poliēterēterketons</w:t>
            </w:r>
            <w:proofErr w:type="spellEnd"/>
            <w:r w:rsidRPr="00174CE1">
              <w:rPr>
                <w:rFonts w:cs="Times New Roman"/>
                <w:color w:val="000000"/>
                <w:sz w:val="20"/>
                <w:szCs w:val="20"/>
              </w:rPr>
              <w:t xml:space="preserve"> (PEEK); Virsmas izmērs: ne lielāks par 2x3 mm.; Ar uzglabāšanas futlāri; </w:t>
            </w:r>
            <w:proofErr w:type="spellStart"/>
            <w:r w:rsidRPr="00174CE1">
              <w:rPr>
                <w:rFonts w:cs="Times New Roman"/>
                <w:color w:val="000000"/>
                <w:sz w:val="20"/>
                <w:szCs w:val="20"/>
              </w:rPr>
              <w:t>Malver</w:t>
            </w:r>
            <w:proofErr w:type="spellEnd"/>
            <w:r w:rsidRPr="00174CE1">
              <w:rPr>
                <w:rFonts w:cs="Times New Roman"/>
                <w:color w:val="000000"/>
                <w:sz w:val="20"/>
                <w:szCs w:val="20"/>
              </w:rPr>
              <w:t xml:space="preserve"> kataloga </w:t>
            </w:r>
            <w:proofErr w:type="spellStart"/>
            <w:r w:rsidRPr="00174CE1">
              <w:rPr>
                <w:rFonts w:cs="Times New Roman"/>
                <w:color w:val="000000"/>
                <w:sz w:val="20"/>
                <w:szCs w:val="20"/>
              </w:rPr>
              <w:t>nr</w:t>
            </w:r>
            <w:proofErr w:type="spellEnd"/>
            <w:r w:rsidRPr="00174CE1">
              <w:rPr>
                <w:rFonts w:cs="Times New Roman"/>
                <w:color w:val="000000"/>
                <w:sz w:val="20"/>
                <w:szCs w:val="20"/>
              </w:rPr>
              <w:t xml:space="preserve"> ZEN4060  vai ekvivalents; Komplektā 10 gab.  </w:t>
            </w:r>
          </w:p>
        </w:tc>
        <w:tc>
          <w:tcPr>
            <w:tcW w:w="1139" w:type="dxa"/>
            <w:shd w:val="clear" w:color="auto" w:fill="auto"/>
            <w:vAlign w:val="bottom"/>
            <w:hideMark/>
          </w:tcPr>
          <w:p w14:paraId="514470DF" w14:textId="77777777" w:rsidR="001A2D0A" w:rsidRPr="00174CE1" w:rsidRDefault="001A2D0A" w:rsidP="001A2D0A">
            <w:pPr>
              <w:spacing w:after="0" w:line="240" w:lineRule="auto"/>
              <w:jc w:val="center"/>
              <w:rPr>
                <w:rFonts w:cs="Times New Roman"/>
                <w:color w:val="000000"/>
                <w:sz w:val="20"/>
                <w:szCs w:val="20"/>
              </w:rPr>
            </w:pPr>
            <w:r w:rsidRPr="00174CE1">
              <w:rPr>
                <w:rFonts w:cs="Times New Roman"/>
                <w:color w:val="000000"/>
                <w:sz w:val="20"/>
                <w:szCs w:val="20"/>
              </w:rPr>
              <w:t>kompl</w:t>
            </w:r>
            <w:r>
              <w:rPr>
                <w:rFonts w:cs="Times New Roman"/>
                <w:color w:val="000000"/>
                <w:sz w:val="20"/>
                <w:szCs w:val="20"/>
              </w:rPr>
              <w:t>ekts</w:t>
            </w:r>
          </w:p>
        </w:tc>
        <w:tc>
          <w:tcPr>
            <w:tcW w:w="992" w:type="dxa"/>
            <w:shd w:val="clear" w:color="auto" w:fill="auto"/>
            <w:vAlign w:val="bottom"/>
            <w:hideMark/>
          </w:tcPr>
          <w:p w14:paraId="49AB07BB" w14:textId="77777777" w:rsidR="001A2D0A" w:rsidRPr="001A2D0A" w:rsidRDefault="001A2D0A" w:rsidP="001A2D0A">
            <w:pPr>
              <w:spacing w:after="0" w:line="240" w:lineRule="auto"/>
              <w:jc w:val="center"/>
              <w:rPr>
                <w:rFonts w:cs="Times New Roman"/>
                <w:color w:val="000000"/>
                <w:sz w:val="20"/>
                <w:szCs w:val="20"/>
              </w:rPr>
            </w:pPr>
            <w:r w:rsidRPr="001A2D0A">
              <w:rPr>
                <w:rFonts w:cs="Times New Roman"/>
                <w:color w:val="000000"/>
                <w:sz w:val="20"/>
                <w:szCs w:val="20"/>
              </w:rPr>
              <w:t>1</w:t>
            </w:r>
          </w:p>
        </w:tc>
        <w:tc>
          <w:tcPr>
            <w:tcW w:w="4442" w:type="dxa"/>
          </w:tcPr>
          <w:p w14:paraId="41548047"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27349AED" w14:textId="77777777" w:rsidTr="00FD02D7">
        <w:trPr>
          <w:trHeight w:val="900"/>
        </w:trPr>
        <w:tc>
          <w:tcPr>
            <w:tcW w:w="883" w:type="dxa"/>
            <w:shd w:val="clear" w:color="auto" w:fill="auto"/>
            <w:noWrap/>
            <w:hideMark/>
          </w:tcPr>
          <w:p w14:paraId="1C9B46F5"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2</w:t>
            </w:r>
          </w:p>
        </w:tc>
        <w:tc>
          <w:tcPr>
            <w:tcW w:w="2520" w:type="dxa"/>
            <w:shd w:val="clear" w:color="auto" w:fill="auto"/>
            <w:noWrap/>
            <w:vAlign w:val="bottom"/>
            <w:hideMark/>
          </w:tcPr>
          <w:p w14:paraId="0BFDEBAA" w14:textId="1E95E118" w:rsidR="001A2D0A" w:rsidRPr="00174CE1" w:rsidRDefault="001A2D0A" w:rsidP="00CE5647">
            <w:pPr>
              <w:spacing w:after="0" w:line="240" w:lineRule="auto"/>
              <w:jc w:val="both"/>
              <w:rPr>
                <w:rFonts w:cs="Times New Roman"/>
                <w:color w:val="000000"/>
                <w:sz w:val="20"/>
                <w:szCs w:val="20"/>
              </w:rPr>
            </w:pPr>
            <w:r w:rsidRPr="00174CE1">
              <w:rPr>
                <w:rFonts w:cs="Times New Roman"/>
                <w:color w:val="000000"/>
                <w:sz w:val="20"/>
                <w:szCs w:val="20"/>
              </w:rPr>
              <w:t xml:space="preserve">Zeta potenciāla vienreizējās </w:t>
            </w:r>
            <w:proofErr w:type="spellStart"/>
            <w:r w:rsidRPr="00174CE1">
              <w:rPr>
                <w:rFonts w:cs="Times New Roman"/>
                <w:color w:val="000000"/>
                <w:sz w:val="20"/>
                <w:szCs w:val="20"/>
              </w:rPr>
              <w:t>kivetes</w:t>
            </w:r>
            <w:proofErr w:type="spellEnd"/>
            <w:r w:rsidRPr="00174CE1">
              <w:rPr>
                <w:rFonts w:cs="Times New Roman"/>
                <w:color w:val="000000"/>
                <w:sz w:val="20"/>
                <w:szCs w:val="20"/>
              </w:rPr>
              <w:t xml:space="preserve"> ar ieejas un izejas kanāliem </w:t>
            </w:r>
          </w:p>
        </w:tc>
        <w:tc>
          <w:tcPr>
            <w:tcW w:w="4767" w:type="dxa"/>
            <w:shd w:val="clear" w:color="auto" w:fill="auto"/>
            <w:vAlign w:val="bottom"/>
            <w:hideMark/>
          </w:tcPr>
          <w:p w14:paraId="27469740" w14:textId="6A3159DC" w:rsidR="001A2D0A" w:rsidRPr="00174CE1" w:rsidRDefault="001A2D0A" w:rsidP="00631137">
            <w:pPr>
              <w:jc w:val="both"/>
              <w:rPr>
                <w:rFonts w:cs="Times New Roman"/>
                <w:color w:val="000000"/>
                <w:sz w:val="20"/>
                <w:szCs w:val="20"/>
              </w:rPr>
            </w:pPr>
            <w:r w:rsidRPr="00174CE1">
              <w:rPr>
                <w:rFonts w:cs="Times New Roman"/>
                <w:color w:val="000000"/>
                <w:sz w:val="20"/>
                <w:szCs w:val="20"/>
              </w:rPr>
              <w:t xml:space="preserve">Vienreiz lietojamās </w:t>
            </w:r>
            <w:proofErr w:type="spellStart"/>
            <w:r w:rsidRPr="00174CE1">
              <w:rPr>
                <w:rFonts w:cs="Times New Roman"/>
                <w:color w:val="000000"/>
                <w:sz w:val="20"/>
                <w:szCs w:val="20"/>
              </w:rPr>
              <w:t>kivetes</w:t>
            </w:r>
            <w:proofErr w:type="spellEnd"/>
            <w:r w:rsidRPr="00174CE1">
              <w:rPr>
                <w:rFonts w:cs="Times New Roman"/>
                <w:color w:val="000000"/>
                <w:sz w:val="20"/>
                <w:szCs w:val="20"/>
              </w:rPr>
              <w:t xml:space="preserve"> ar ieejas un izejas kanāliem Zeta potenciāla mērījumiem, savienojamas ar </w:t>
            </w:r>
            <w:proofErr w:type="spellStart"/>
            <w:r w:rsidRPr="00174CE1">
              <w:rPr>
                <w:rFonts w:cs="Times New Roman"/>
                <w:color w:val="000000"/>
                <w:sz w:val="20"/>
                <w:szCs w:val="20"/>
              </w:rPr>
              <w:t>Malvern</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Zetasizer</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Nano</w:t>
            </w:r>
            <w:proofErr w:type="spellEnd"/>
            <w:r w:rsidRPr="00174CE1">
              <w:rPr>
                <w:rFonts w:cs="Times New Roman"/>
                <w:color w:val="000000"/>
                <w:sz w:val="20"/>
                <w:szCs w:val="20"/>
              </w:rPr>
              <w:t xml:space="preserve"> ZS90 iekārtu. Temperatūras diapazons:</w:t>
            </w:r>
            <w:r w:rsidR="00D3414E">
              <w:rPr>
                <w:rFonts w:cs="Times New Roman"/>
                <w:color w:val="000000"/>
                <w:sz w:val="20"/>
                <w:szCs w:val="20"/>
              </w:rPr>
              <w:t xml:space="preserve"> </w:t>
            </w:r>
            <w:r w:rsidR="00631137">
              <w:rPr>
                <w:rFonts w:cs="Times New Roman"/>
                <w:color w:val="000000"/>
                <w:sz w:val="20"/>
                <w:szCs w:val="20"/>
              </w:rPr>
              <w:t>ne mazāk</w:t>
            </w:r>
            <w:r w:rsidR="00CE5647">
              <w:rPr>
                <w:rFonts w:cs="Times New Roman"/>
                <w:color w:val="000000"/>
                <w:sz w:val="20"/>
                <w:szCs w:val="20"/>
              </w:rPr>
              <w:t>s</w:t>
            </w:r>
            <w:r w:rsidR="00631137">
              <w:rPr>
                <w:rFonts w:cs="Times New Roman"/>
                <w:color w:val="000000"/>
                <w:sz w:val="20"/>
                <w:szCs w:val="20"/>
              </w:rPr>
              <w:t xml:space="preserve"> kā</w:t>
            </w:r>
            <w:r w:rsidR="00CE5647">
              <w:rPr>
                <w:rFonts w:cs="Times New Roman"/>
                <w:color w:val="000000"/>
                <w:sz w:val="20"/>
                <w:szCs w:val="20"/>
              </w:rPr>
              <w:t>:</w:t>
            </w:r>
            <w:r w:rsidR="00631137">
              <w:rPr>
                <w:rFonts w:cs="Times New Roman"/>
                <w:color w:val="000000"/>
                <w:sz w:val="20"/>
                <w:szCs w:val="20"/>
              </w:rPr>
              <w:t xml:space="preserve"> </w:t>
            </w:r>
            <w:r w:rsidRPr="00174CE1">
              <w:rPr>
                <w:rFonts w:cs="Times New Roman"/>
                <w:color w:val="000000"/>
                <w:sz w:val="20"/>
                <w:szCs w:val="20"/>
              </w:rPr>
              <w:t xml:space="preserve">0 - 70 °C; Materiāls: polikarbonāts (PC); </w:t>
            </w:r>
            <w:proofErr w:type="spellStart"/>
            <w:r w:rsidRPr="00174CE1">
              <w:rPr>
                <w:rFonts w:cs="Times New Roman"/>
                <w:color w:val="000000"/>
                <w:sz w:val="20"/>
                <w:szCs w:val="20"/>
              </w:rPr>
              <w:t>Malver</w:t>
            </w:r>
            <w:proofErr w:type="spellEnd"/>
            <w:r w:rsidRPr="00174CE1">
              <w:rPr>
                <w:rFonts w:cs="Times New Roman"/>
                <w:color w:val="000000"/>
                <w:sz w:val="20"/>
                <w:szCs w:val="20"/>
              </w:rPr>
              <w:t xml:space="preserve"> kataloga </w:t>
            </w:r>
            <w:proofErr w:type="spellStart"/>
            <w:r w:rsidRPr="00174CE1">
              <w:rPr>
                <w:rFonts w:cs="Times New Roman"/>
                <w:color w:val="000000"/>
                <w:sz w:val="20"/>
                <w:szCs w:val="20"/>
              </w:rPr>
              <w:t>nr</w:t>
            </w:r>
            <w:proofErr w:type="spellEnd"/>
            <w:r w:rsidRPr="00174CE1">
              <w:rPr>
                <w:rFonts w:cs="Times New Roman"/>
                <w:color w:val="000000"/>
                <w:sz w:val="20"/>
                <w:szCs w:val="20"/>
              </w:rPr>
              <w:t xml:space="preserve"> DTS1071  vai ekvivalents. Iepakojumā 10 gab.</w:t>
            </w:r>
          </w:p>
        </w:tc>
        <w:tc>
          <w:tcPr>
            <w:tcW w:w="1139" w:type="dxa"/>
            <w:shd w:val="clear" w:color="auto" w:fill="auto"/>
            <w:noWrap/>
            <w:vAlign w:val="bottom"/>
            <w:hideMark/>
          </w:tcPr>
          <w:p w14:paraId="5A253875" w14:textId="77777777" w:rsidR="001A2D0A" w:rsidRPr="00174CE1" w:rsidRDefault="001A2D0A" w:rsidP="001A2D0A">
            <w:pPr>
              <w:jc w:val="center"/>
              <w:rPr>
                <w:rFonts w:cs="Times New Roman"/>
                <w:color w:val="000000"/>
                <w:sz w:val="20"/>
                <w:szCs w:val="20"/>
              </w:rPr>
            </w:pPr>
            <w:r w:rsidRPr="00174CE1">
              <w:rPr>
                <w:rFonts w:cs="Times New Roman"/>
                <w:color w:val="000000"/>
                <w:sz w:val="20"/>
                <w:szCs w:val="20"/>
              </w:rPr>
              <w:t>iep</w:t>
            </w:r>
            <w:r>
              <w:rPr>
                <w:rFonts w:cs="Times New Roman"/>
                <w:color w:val="000000"/>
                <w:sz w:val="20"/>
                <w:szCs w:val="20"/>
              </w:rPr>
              <w:t>akojums</w:t>
            </w:r>
          </w:p>
        </w:tc>
        <w:tc>
          <w:tcPr>
            <w:tcW w:w="992" w:type="dxa"/>
            <w:shd w:val="clear" w:color="auto" w:fill="auto"/>
            <w:noWrap/>
            <w:vAlign w:val="bottom"/>
            <w:hideMark/>
          </w:tcPr>
          <w:p w14:paraId="60F3C1E9"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w:t>
            </w:r>
          </w:p>
        </w:tc>
        <w:tc>
          <w:tcPr>
            <w:tcW w:w="4442" w:type="dxa"/>
          </w:tcPr>
          <w:p w14:paraId="0262E695"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0FE679F1" w14:textId="77777777" w:rsidTr="00FD02D7">
        <w:trPr>
          <w:trHeight w:val="900"/>
        </w:trPr>
        <w:tc>
          <w:tcPr>
            <w:tcW w:w="883" w:type="dxa"/>
            <w:shd w:val="clear" w:color="auto" w:fill="auto"/>
            <w:noWrap/>
            <w:hideMark/>
          </w:tcPr>
          <w:p w14:paraId="282843CD"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3</w:t>
            </w:r>
          </w:p>
        </w:tc>
        <w:tc>
          <w:tcPr>
            <w:tcW w:w="2520" w:type="dxa"/>
            <w:shd w:val="clear" w:color="auto" w:fill="auto"/>
            <w:noWrap/>
            <w:vAlign w:val="bottom"/>
            <w:hideMark/>
          </w:tcPr>
          <w:p w14:paraId="2BBDE7D1"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 xml:space="preserve">Stikla </w:t>
            </w:r>
            <w:proofErr w:type="spellStart"/>
            <w:r w:rsidRPr="00174CE1">
              <w:rPr>
                <w:rFonts w:cs="Times New Roman"/>
                <w:color w:val="000000"/>
                <w:sz w:val="20"/>
                <w:szCs w:val="20"/>
              </w:rPr>
              <w:t>kivete</w:t>
            </w:r>
            <w:proofErr w:type="spellEnd"/>
          </w:p>
        </w:tc>
        <w:tc>
          <w:tcPr>
            <w:tcW w:w="4767" w:type="dxa"/>
            <w:shd w:val="clear" w:color="auto" w:fill="auto"/>
            <w:vAlign w:val="bottom"/>
            <w:hideMark/>
          </w:tcPr>
          <w:p w14:paraId="2F72F652" w14:textId="2FA56CD5" w:rsidR="001A2D0A" w:rsidRPr="00174CE1" w:rsidRDefault="001A2D0A" w:rsidP="001A2D0A">
            <w:pPr>
              <w:jc w:val="both"/>
              <w:rPr>
                <w:rFonts w:cs="Times New Roman"/>
                <w:sz w:val="20"/>
                <w:szCs w:val="20"/>
              </w:rPr>
            </w:pPr>
            <w:r w:rsidRPr="00174CE1">
              <w:rPr>
                <w:rFonts w:cs="Times New Roman"/>
                <w:sz w:val="20"/>
                <w:szCs w:val="20"/>
              </w:rPr>
              <w:t xml:space="preserve">Kvarca </w:t>
            </w:r>
            <w:proofErr w:type="spellStart"/>
            <w:r w:rsidRPr="00174CE1">
              <w:rPr>
                <w:rFonts w:cs="Times New Roman"/>
                <w:sz w:val="20"/>
                <w:szCs w:val="20"/>
              </w:rPr>
              <w:t>kivete</w:t>
            </w:r>
            <w:proofErr w:type="spellEnd"/>
            <w:r w:rsidRPr="00174CE1">
              <w:rPr>
                <w:rFonts w:cs="Times New Roman"/>
                <w:sz w:val="20"/>
                <w:szCs w:val="20"/>
              </w:rPr>
              <w:t xml:space="preserve">, savienojama ar </w:t>
            </w:r>
            <w:proofErr w:type="spellStart"/>
            <w:r w:rsidRPr="00174CE1">
              <w:rPr>
                <w:rFonts w:cs="Times New Roman"/>
                <w:sz w:val="20"/>
                <w:szCs w:val="20"/>
              </w:rPr>
              <w:t>Malvern</w:t>
            </w:r>
            <w:proofErr w:type="spellEnd"/>
            <w:r w:rsidRPr="00174CE1">
              <w:rPr>
                <w:rFonts w:cs="Times New Roman"/>
                <w:sz w:val="20"/>
                <w:szCs w:val="20"/>
              </w:rPr>
              <w:t xml:space="preserve"> </w:t>
            </w:r>
            <w:proofErr w:type="spellStart"/>
            <w:r w:rsidRPr="00174CE1">
              <w:rPr>
                <w:rFonts w:cs="Times New Roman"/>
                <w:sz w:val="20"/>
                <w:szCs w:val="20"/>
              </w:rPr>
              <w:t>Zetasizer</w:t>
            </w:r>
            <w:proofErr w:type="spellEnd"/>
            <w:r w:rsidRPr="00174CE1">
              <w:rPr>
                <w:rFonts w:cs="Times New Roman"/>
                <w:sz w:val="20"/>
                <w:szCs w:val="20"/>
              </w:rPr>
              <w:t xml:space="preserve"> </w:t>
            </w:r>
            <w:proofErr w:type="spellStart"/>
            <w:r w:rsidRPr="00174CE1">
              <w:rPr>
                <w:rFonts w:cs="Times New Roman"/>
                <w:sz w:val="20"/>
                <w:szCs w:val="20"/>
              </w:rPr>
              <w:t>Nano</w:t>
            </w:r>
            <w:proofErr w:type="spellEnd"/>
            <w:r w:rsidRPr="00174CE1">
              <w:rPr>
                <w:rFonts w:cs="Times New Roman"/>
                <w:sz w:val="20"/>
                <w:szCs w:val="20"/>
              </w:rPr>
              <w:t xml:space="preserve"> ZS90 iekārtu. Forma: kvadrātveida, ar vāciņu, visas puses caurspīdīgas; Ārējais diametrs: 12 mm;  </w:t>
            </w:r>
            <w:proofErr w:type="spellStart"/>
            <w:r w:rsidRPr="00174CE1">
              <w:rPr>
                <w:rFonts w:cs="Times New Roman"/>
                <w:sz w:val="20"/>
                <w:szCs w:val="20"/>
              </w:rPr>
              <w:t>Malvern</w:t>
            </w:r>
            <w:proofErr w:type="spellEnd"/>
            <w:r w:rsidRPr="00174CE1">
              <w:rPr>
                <w:rFonts w:cs="Times New Roman"/>
                <w:sz w:val="20"/>
                <w:szCs w:val="20"/>
              </w:rPr>
              <w:t xml:space="preserve"> produktu kataloga  </w:t>
            </w:r>
            <w:proofErr w:type="spellStart"/>
            <w:r w:rsidRPr="00174CE1">
              <w:rPr>
                <w:rFonts w:cs="Times New Roman"/>
                <w:sz w:val="20"/>
                <w:szCs w:val="20"/>
              </w:rPr>
              <w:t>nr</w:t>
            </w:r>
            <w:proofErr w:type="spellEnd"/>
            <w:r w:rsidRPr="00174CE1">
              <w:rPr>
                <w:rFonts w:cs="Times New Roman"/>
                <w:sz w:val="20"/>
                <w:szCs w:val="20"/>
              </w:rPr>
              <w:t xml:space="preserve"> PCS1115 vai ekvivalents</w:t>
            </w:r>
            <w:r w:rsidR="00166794">
              <w:rPr>
                <w:rFonts w:cs="Times New Roman"/>
                <w:sz w:val="20"/>
                <w:szCs w:val="20"/>
              </w:rPr>
              <w:t>.</w:t>
            </w:r>
          </w:p>
        </w:tc>
        <w:tc>
          <w:tcPr>
            <w:tcW w:w="1139" w:type="dxa"/>
            <w:shd w:val="clear" w:color="auto" w:fill="auto"/>
            <w:noWrap/>
            <w:vAlign w:val="bottom"/>
            <w:hideMark/>
          </w:tcPr>
          <w:p w14:paraId="686086DF"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auto" w:fill="auto"/>
            <w:noWrap/>
            <w:vAlign w:val="bottom"/>
            <w:hideMark/>
          </w:tcPr>
          <w:p w14:paraId="5A23061B"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w:t>
            </w:r>
          </w:p>
        </w:tc>
        <w:tc>
          <w:tcPr>
            <w:tcW w:w="4442" w:type="dxa"/>
          </w:tcPr>
          <w:p w14:paraId="0CAE25A2"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0DE69F4E" w14:textId="77777777" w:rsidTr="00FD02D7">
        <w:trPr>
          <w:trHeight w:val="900"/>
        </w:trPr>
        <w:tc>
          <w:tcPr>
            <w:tcW w:w="883" w:type="dxa"/>
            <w:shd w:val="clear" w:color="auto" w:fill="auto"/>
            <w:noWrap/>
            <w:hideMark/>
          </w:tcPr>
          <w:p w14:paraId="17E0CDF9"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4</w:t>
            </w:r>
          </w:p>
        </w:tc>
        <w:tc>
          <w:tcPr>
            <w:tcW w:w="2520" w:type="dxa"/>
            <w:shd w:val="clear" w:color="auto" w:fill="auto"/>
            <w:noWrap/>
            <w:vAlign w:val="bottom"/>
            <w:hideMark/>
          </w:tcPr>
          <w:p w14:paraId="264A7E82" w14:textId="77777777" w:rsidR="001A2D0A" w:rsidRPr="00174CE1" w:rsidRDefault="001A2D0A" w:rsidP="001A2D0A">
            <w:pPr>
              <w:spacing w:after="0" w:line="240" w:lineRule="auto"/>
              <w:jc w:val="both"/>
              <w:rPr>
                <w:rFonts w:cs="Times New Roman"/>
                <w:color w:val="222222"/>
                <w:sz w:val="20"/>
                <w:szCs w:val="20"/>
              </w:rPr>
            </w:pPr>
            <w:r w:rsidRPr="00174CE1">
              <w:rPr>
                <w:rFonts w:cs="Times New Roman"/>
                <w:color w:val="222222"/>
                <w:sz w:val="20"/>
                <w:szCs w:val="20"/>
              </w:rPr>
              <w:t>Indijs temperatūras un entalpijas kalibrēšanai</w:t>
            </w:r>
          </w:p>
        </w:tc>
        <w:tc>
          <w:tcPr>
            <w:tcW w:w="4767" w:type="dxa"/>
            <w:shd w:val="clear" w:color="auto" w:fill="auto"/>
            <w:vAlign w:val="bottom"/>
            <w:hideMark/>
          </w:tcPr>
          <w:p w14:paraId="12E40BC9" w14:textId="08F810B4" w:rsidR="001A2D0A" w:rsidRPr="00174CE1" w:rsidRDefault="00DE3F63" w:rsidP="00631137">
            <w:pPr>
              <w:jc w:val="both"/>
              <w:rPr>
                <w:rFonts w:cs="Times New Roman"/>
                <w:color w:val="000000"/>
                <w:sz w:val="20"/>
                <w:szCs w:val="20"/>
              </w:rPr>
            </w:pPr>
            <w:r w:rsidRPr="00174CE1">
              <w:rPr>
                <w:rFonts w:cs="Times New Roman"/>
                <w:color w:val="000000"/>
                <w:sz w:val="20"/>
                <w:szCs w:val="20"/>
              </w:rPr>
              <w:t>Indijs DSC iekārtas kalibrēšanai. Forma: diski;  viena diska masa</w:t>
            </w:r>
            <w:r>
              <w:rPr>
                <w:rFonts w:cs="Times New Roman"/>
                <w:color w:val="000000"/>
                <w:sz w:val="20"/>
                <w:szCs w:val="20"/>
              </w:rPr>
              <w:t xml:space="preserve"> robežās </w:t>
            </w:r>
            <w:r w:rsidRPr="00174CE1">
              <w:rPr>
                <w:rFonts w:cs="Times New Roman"/>
                <w:color w:val="000000"/>
                <w:sz w:val="20"/>
                <w:szCs w:val="20"/>
              </w:rPr>
              <w:t xml:space="preserve">2-4 mg. ; </w:t>
            </w:r>
            <w:r w:rsidRPr="00DE3F63">
              <w:rPr>
                <w:rFonts w:cs="Times New Roman"/>
                <w:color w:val="000000"/>
                <w:sz w:val="20"/>
                <w:szCs w:val="20"/>
              </w:rPr>
              <w:t>iepakojumā – 40 gab.</w:t>
            </w:r>
            <w:r>
              <w:rPr>
                <w:rFonts w:cs="Times New Roman"/>
                <w:color w:val="000000"/>
                <w:sz w:val="20"/>
                <w:szCs w:val="20"/>
              </w:rPr>
              <w:t xml:space="preserve"> </w:t>
            </w:r>
            <w:proofErr w:type="spellStart"/>
            <w:r w:rsidRPr="00174CE1">
              <w:rPr>
                <w:rFonts w:cs="Times New Roman"/>
                <w:color w:val="000000"/>
                <w:sz w:val="20"/>
                <w:szCs w:val="20"/>
              </w:rPr>
              <w:t>Mettler</w:t>
            </w:r>
            <w:proofErr w:type="spellEnd"/>
            <w:r w:rsidRPr="00174CE1">
              <w:rPr>
                <w:rFonts w:cs="Times New Roman"/>
                <w:color w:val="000000"/>
                <w:sz w:val="20"/>
                <w:szCs w:val="20"/>
              </w:rPr>
              <w:t>/</w:t>
            </w:r>
            <w:proofErr w:type="spellStart"/>
            <w:r w:rsidRPr="00174CE1">
              <w:rPr>
                <w:rFonts w:cs="Times New Roman"/>
                <w:color w:val="000000"/>
                <w:sz w:val="20"/>
                <w:szCs w:val="20"/>
              </w:rPr>
              <w:t>Toledo</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poroduktu</w:t>
            </w:r>
            <w:proofErr w:type="spellEnd"/>
            <w:r w:rsidRPr="00174CE1">
              <w:rPr>
                <w:rFonts w:cs="Times New Roman"/>
                <w:color w:val="000000"/>
                <w:sz w:val="20"/>
                <w:szCs w:val="20"/>
              </w:rPr>
              <w:t xml:space="preserve">  kat.nr </w:t>
            </w:r>
            <w:r w:rsidRPr="00174CE1">
              <w:rPr>
                <w:rFonts w:cs="Times New Roman"/>
                <w:sz w:val="20"/>
                <w:szCs w:val="20"/>
              </w:rPr>
              <w:t xml:space="preserve"> 119442</w:t>
            </w:r>
            <w:r w:rsidRPr="00174CE1">
              <w:rPr>
                <w:rFonts w:cs="Times New Roman"/>
                <w:color w:val="000000"/>
                <w:sz w:val="20"/>
                <w:szCs w:val="20"/>
              </w:rPr>
              <w:t xml:space="preserve">  vai ekvivalents</w:t>
            </w:r>
            <w:r w:rsidR="00166794">
              <w:rPr>
                <w:rFonts w:cs="Times New Roman"/>
                <w:color w:val="000000"/>
                <w:sz w:val="20"/>
                <w:szCs w:val="20"/>
              </w:rPr>
              <w:t>.</w:t>
            </w:r>
          </w:p>
        </w:tc>
        <w:tc>
          <w:tcPr>
            <w:tcW w:w="1139" w:type="dxa"/>
            <w:shd w:val="clear" w:color="auto" w:fill="auto"/>
            <w:noWrap/>
            <w:vAlign w:val="bottom"/>
            <w:hideMark/>
          </w:tcPr>
          <w:p w14:paraId="51A4C73B" w14:textId="77777777" w:rsidR="001A2D0A" w:rsidRPr="00174CE1" w:rsidRDefault="001A2D0A" w:rsidP="001A2D0A">
            <w:pPr>
              <w:jc w:val="center"/>
              <w:rPr>
                <w:rFonts w:cs="Times New Roman"/>
                <w:sz w:val="20"/>
                <w:szCs w:val="20"/>
              </w:rPr>
            </w:pPr>
            <w:r w:rsidRPr="00174CE1">
              <w:rPr>
                <w:rFonts w:cs="Times New Roman"/>
                <w:sz w:val="20"/>
                <w:szCs w:val="20"/>
              </w:rPr>
              <w:t>gab.</w:t>
            </w:r>
          </w:p>
        </w:tc>
        <w:tc>
          <w:tcPr>
            <w:tcW w:w="992" w:type="dxa"/>
            <w:shd w:val="clear" w:color="auto" w:fill="auto"/>
            <w:noWrap/>
            <w:vAlign w:val="bottom"/>
            <w:hideMark/>
          </w:tcPr>
          <w:p w14:paraId="397BF887"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w:t>
            </w:r>
          </w:p>
        </w:tc>
        <w:tc>
          <w:tcPr>
            <w:tcW w:w="4442" w:type="dxa"/>
          </w:tcPr>
          <w:p w14:paraId="63FA2191"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7E062315" w14:textId="77777777" w:rsidTr="00FD02D7">
        <w:trPr>
          <w:trHeight w:val="900"/>
        </w:trPr>
        <w:tc>
          <w:tcPr>
            <w:tcW w:w="883" w:type="dxa"/>
            <w:shd w:val="clear" w:color="auto" w:fill="auto"/>
            <w:noWrap/>
            <w:hideMark/>
          </w:tcPr>
          <w:p w14:paraId="637A2ED4"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5</w:t>
            </w:r>
          </w:p>
        </w:tc>
        <w:tc>
          <w:tcPr>
            <w:tcW w:w="2520" w:type="dxa"/>
            <w:shd w:val="clear" w:color="auto" w:fill="auto"/>
            <w:noWrap/>
            <w:vAlign w:val="bottom"/>
            <w:hideMark/>
          </w:tcPr>
          <w:p w14:paraId="61635D65" w14:textId="77777777" w:rsidR="001A2D0A" w:rsidRPr="00174CE1" w:rsidRDefault="001A2D0A" w:rsidP="001A2D0A">
            <w:pPr>
              <w:spacing w:after="0" w:line="240" w:lineRule="auto"/>
              <w:jc w:val="both"/>
              <w:rPr>
                <w:rFonts w:cs="Times New Roman"/>
                <w:color w:val="222222"/>
                <w:sz w:val="20"/>
                <w:szCs w:val="20"/>
              </w:rPr>
            </w:pPr>
            <w:r w:rsidRPr="00174CE1">
              <w:rPr>
                <w:rFonts w:cs="Times New Roman"/>
                <w:color w:val="222222"/>
                <w:sz w:val="20"/>
                <w:szCs w:val="20"/>
              </w:rPr>
              <w:t>Korunda tīģelīši</w:t>
            </w:r>
          </w:p>
        </w:tc>
        <w:tc>
          <w:tcPr>
            <w:tcW w:w="4767" w:type="dxa"/>
            <w:shd w:val="clear" w:color="auto" w:fill="auto"/>
            <w:vAlign w:val="bottom"/>
            <w:hideMark/>
          </w:tcPr>
          <w:p w14:paraId="3C02D87D" w14:textId="77777777" w:rsidR="001A2D0A" w:rsidRPr="00174CE1" w:rsidRDefault="001A2D0A" w:rsidP="001A2D0A">
            <w:pPr>
              <w:jc w:val="both"/>
              <w:rPr>
                <w:rFonts w:cs="Times New Roman"/>
                <w:color w:val="000000"/>
                <w:sz w:val="20"/>
                <w:szCs w:val="20"/>
              </w:rPr>
            </w:pPr>
            <w:r w:rsidRPr="00174CE1">
              <w:rPr>
                <w:rFonts w:cs="Times New Roman"/>
                <w:color w:val="000000"/>
                <w:sz w:val="20"/>
                <w:szCs w:val="20"/>
              </w:rPr>
              <w:t xml:space="preserve">Korunda tīģeļi TGA eksperimentiem, paredzēti </w:t>
            </w:r>
            <w:proofErr w:type="spellStart"/>
            <w:r w:rsidRPr="00174CE1">
              <w:rPr>
                <w:rFonts w:cs="Times New Roman"/>
                <w:color w:val="000000"/>
                <w:sz w:val="20"/>
                <w:szCs w:val="20"/>
              </w:rPr>
              <w:t>Mettler</w:t>
            </w:r>
            <w:proofErr w:type="spellEnd"/>
            <w:r w:rsidRPr="00174CE1">
              <w:rPr>
                <w:rFonts w:cs="Times New Roman"/>
                <w:color w:val="000000"/>
                <w:sz w:val="20"/>
                <w:szCs w:val="20"/>
              </w:rPr>
              <w:t>/</w:t>
            </w:r>
            <w:proofErr w:type="spellStart"/>
            <w:r w:rsidRPr="00174CE1">
              <w:rPr>
                <w:rFonts w:cs="Times New Roman"/>
                <w:color w:val="000000"/>
                <w:sz w:val="20"/>
                <w:szCs w:val="20"/>
              </w:rPr>
              <w:t>Toledo</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termogravimetram</w:t>
            </w:r>
            <w:proofErr w:type="spellEnd"/>
            <w:r w:rsidRPr="00174CE1">
              <w:rPr>
                <w:rFonts w:cs="Times New Roman"/>
                <w:color w:val="000000"/>
                <w:sz w:val="20"/>
                <w:szCs w:val="20"/>
              </w:rPr>
              <w:t xml:space="preserve"> TGA1/SF. Tilpums: 70 </w:t>
            </w:r>
            <w:proofErr w:type="spellStart"/>
            <w:r w:rsidRPr="00174CE1">
              <w:rPr>
                <w:rFonts w:cs="Times New Roman"/>
                <w:color w:val="000000"/>
                <w:sz w:val="20"/>
                <w:szCs w:val="20"/>
              </w:rPr>
              <w:t>ul</w:t>
            </w:r>
            <w:proofErr w:type="spellEnd"/>
            <w:r w:rsidRPr="00174CE1">
              <w:rPr>
                <w:rFonts w:cs="Times New Roman"/>
                <w:color w:val="000000"/>
                <w:sz w:val="20"/>
                <w:szCs w:val="20"/>
              </w:rPr>
              <w:t xml:space="preserve">, ar vāciņu;  </w:t>
            </w:r>
            <w:proofErr w:type="spellStart"/>
            <w:r w:rsidRPr="00174CE1">
              <w:rPr>
                <w:rFonts w:cs="Times New Roman"/>
                <w:color w:val="000000"/>
                <w:sz w:val="20"/>
                <w:szCs w:val="20"/>
              </w:rPr>
              <w:t>Mettler</w:t>
            </w:r>
            <w:proofErr w:type="spellEnd"/>
            <w:r w:rsidRPr="00174CE1">
              <w:rPr>
                <w:rFonts w:cs="Times New Roman"/>
                <w:color w:val="000000"/>
                <w:sz w:val="20"/>
                <w:szCs w:val="20"/>
              </w:rPr>
              <w:t>/</w:t>
            </w:r>
            <w:proofErr w:type="spellStart"/>
            <w:r w:rsidRPr="00174CE1">
              <w:rPr>
                <w:rFonts w:cs="Times New Roman"/>
                <w:color w:val="000000"/>
                <w:sz w:val="20"/>
                <w:szCs w:val="20"/>
              </w:rPr>
              <w:t>Toledo</w:t>
            </w:r>
            <w:proofErr w:type="spellEnd"/>
            <w:r w:rsidRPr="00174CE1">
              <w:rPr>
                <w:rFonts w:cs="Times New Roman"/>
                <w:color w:val="000000"/>
                <w:sz w:val="20"/>
                <w:szCs w:val="20"/>
              </w:rPr>
              <w:t xml:space="preserve"> produktu kataloga  </w:t>
            </w:r>
            <w:proofErr w:type="spellStart"/>
            <w:r w:rsidRPr="00174CE1">
              <w:rPr>
                <w:rFonts w:cs="Times New Roman"/>
                <w:color w:val="000000"/>
                <w:sz w:val="20"/>
                <w:szCs w:val="20"/>
              </w:rPr>
              <w:t>nr</w:t>
            </w:r>
            <w:proofErr w:type="spellEnd"/>
            <w:r w:rsidRPr="00174CE1">
              <w:rPr>
                <w:rFonts w:cs="Times New Roman"/>
                <w:color w:val="000000"/>
                <w:sz w:val="20"/>
                <w:szCs w:val="20"/>
              </w:rPr>
              <w:t xml:space="preserve"> </w:t>
            </w:r>
            <w:r w:rsidRPr="00174CE1">
              <w:rPr>
                <w:rFonts w:cs="Times New Roman"/>
                <w:sz w:val="20"/>
                <w:szCs w:val="20"/>
              </w:rPr>
              <w:t xml:space="preserve"> 24123 vai ekvivalents.</w:t>
            </w:r>
          </w:p>
        </w:tc>
        <w:tc>
          <w:tcPr>
            <w:tcW w:w="1139" w:type="dxa"/>
            <w:shd w:val="clear" w:color="auto" w:fill="auto"/>
            <w:noWrap/>
            <w:vAlign w:val="bottom"/>
            <w:hideMark/>
          </w:tcPr>
          <w:p w14:paraId="5438035C"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auto" w:fill="auto"/>
            <w:noWrap/>
            <w:vAlign w:val="bottom"/>
            <w:hideMark/>
          </w:tcPr>
          <w:p w14:paraId="03E5B2FF"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20</w:t>
            </w:r>
          </w:p>
        </w:tc>
        <w:tc>
          <w:tcPr>
            <w:tcW w:w="4442" w:type="dxa"/>
          </w:tcPr>
          <w:p w14:paraId="1E109A8F"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52B978A9" w14:textId="77777777" w:rsidTr="00FD02D7">
        <w:trPr>
          <w:trHeight w:val="630"/>
        </w:trPr>
        <w:tc>
          <w:tcPr>
            <w:tcW w:w="883" w:type="dxa"/>
            <w:shd w:val="clear" w:color="auto" w:fill="auto"/>
            <w:noWrap/>
            <w:hideMark/>
          </w:tcPr>
          <w:p w14:paraId="4C7CD33D"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6</w:t>
            </w:r>
          </w:p>
        </w:tc>
        <w:tc>
          <w:tcPr>
            <w:tcW w:w="2520" w:type="dxa"/>
            <w:shd w:val="clear" w:color="000000" w:fill="FFFFFF"/>
            <w:noWrap/>
            <w:vAlign w:val="bottom"/>
            <w:hideMark/>
          </w:tcPr>
          <w:p w14:paraId="6BC0B9AD"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Petri trauciņi</w:t>
            </w:r>
          </w:p>
        </w:tc>
        <w:tc>
          <w:tcPr>
            <w:tcW w:w="4767" w:type="dxa"/>
            <w:shd w:val="clear" w:color="000000" w:fill="FFFFFF"/>
            <w:vAlign w:val="bottom"/>
            <w:hideMark/>
          </w:tcPr>
          <w:p w14:paraId="5BA01EFA" w14:textId="77777777" w:rsidR="001A2D0A" w:rsidRPr="00174CE1" w:rsidRDefault="001A2D0A" w:rsidP="001A2D0A">
            <w:pPr>
              <w:jc w:val="both"/>
              <w:rPr>
                <w:rFonts w:cs="Times New Roman"/>
                <w:color w:val="000000"/>
                <w:sz w:val="20"/>
                <w:szCs w:val="20"/>
              </w:rPr>
            </w:pPr>
            <w:r w:rsidRPr="00174CE1">
              <w:rPr>
                <w:rFonts w:cs="Times New Roman"/>
                <w:color w:val="000000"/>
                <w:sz w:val="20"/>
                <w:szCs w:val="20"/>
              </w:rPr>
              <w:t>Petri trauciņi ar vāciņu. Diametrs: 150 mm; Materiāls: polistirols (PS). Daudzums: 140 gab.</w:t>
            </w:r>
          </w:p>
        </w:tc>
        <w:tc>
          <w:tcPr>
            <w:tcW w:w="1139" w:type="dxa"/>
            <w:shd w:val="clear" w:color="auto" w:fill="auto"/>
            <w:noWrap/>
            <w:vAlign w:val="bottom"/>
            <w:hideMark/>
          </w:tcPr>
          <w:p w14:paraId="28D143D9"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auto" w:fill="auto"/>
            <w:noWrap/>
            <w:vAlign w:val="bottom"/>
            <w:hideMark/>
          </w:tcPr>
          <w:p w14:paraId="7F24AC4D"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140</w:t>
            </w:r>
          </w:p>
        </w:tc>
        <w:tc>
          <w:tcPr>
            <w:tcW w:w="4442" w:type="dxa"/>
          </w:tcPr>
          <w:p w14:paraId="3CF30953"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3309FF28" w14:textId="77777777" w:rsidTr="00FD02D7">
        <w:trPr>
          <w:trHeight w:val="900"/>
        </w:trPr>
        <w:tc>
          <w:tcPr>
            <w:tcW w:w="883" w:type="dxa"/>
            <w:shd w:val="clear" w:color="auto" w:fill="auto"/>
            <w:noWrap/>
            <w:hideMark/>
          </w:tcPr>
          <w:p w14:paraId="3056DE7C"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lastRenderedPageBreak/>
              <w:t>7</w:t>
            </w:r>
          </w:p>
        </w:tc>
        <w:tc>
          <w:tcPr>
            <w:tcW w:w="2520" w:type="dxa"/>
            <w:shd w:val="clear" w:color="000000" w:fill="FFFFFF"/>
            <w:vAlign w:val="bottom"/>
            <w:hideMark/>
          </w:tcPr>
          <w:p w14:paraId="0FA214E4" w14:textId="77777777" w:rsidR="001A2D0A" w:rsidRPr="00174CE1" w:rsidRDefault="001A2D0A" w:rsidP="001A2D0A">
            <w:pPr>
              <w:spacing w:after="0" w:line="240" w:lineRule="auto"/>
              <w:jc w:val="both"/>
              <w:rPr>
                <w:rFonts w:cs="Times New Roman"/>
                <w:color w:val="000000"/>
                <w:sz w:val="20"/>
                <w:szCs w:val="20"/>
              </w:rPr>
            </w:pPr>
            <w:proofErr w:type="spellStart"/>
            <w:r w:rsidRPr="00174CE1">
              <w:rPr>
                <w:rFonts w:cs="Times New Roman"/>
                <w:color w:val="000000"/>
                <w:sz w:val="20"/>
                <w:szCs w:val="20"/>
              </w:rPr>
              <w:t>pH</w:t>
            </w:r>
            <w:proofErr w:type="spellEnd"/>
            <w:r w:rsidRPr="00174CE1">
              <w:rPr>
                <w:rFonts w:cs="Times New Roman"/>
                <w:color w:val="000000"/>
                <w:sz w:val="20"/>
                <w:szCs w:val="20"/>
              </w:rPr>
              <w:t xml:space="preserve"> Elektrods</w:t>
            </w:r>
          </w:p>
        </w:tc>
        <w:tc>
          <w:tcPr>
            <w:tcW w:w="4767" w:type="dxa"/>
            <w:shd w:val="clear" w:color="000000" w:fill="FFFFFF"/>
            <w:vAlign w:val="bottom"/>
            <w:hideMark/>
          </w:tcPr>
          <w:p w14:paraId="58081A23" w14:textId="5F9F9A87" w:rsidR="001A2D0A" w:rsidRPr="00174CE1" w:rsidRDefault="001A2D0A" w:rsidP="001A2D0A">
            <w:pPr>
              <w:jc w:val="both"/>
              <w:rPr>
                <w:rFonts w:cs="Times New Roman"/>
                <w:color w:val="000000"/>
                <w:sz w:val="20"/>
                <w:szCs w:val="20"/>
              </w:rPr>
            </w:pPr>
            <w:proofErr w:type="spellStart"/>
            <w:r w:rsidRPr="00174CE1">
              <w:rPr>
                <w:rFonts w:cs="Times New Roman"/>
                <w:color w:val="000000"/>
                <w:sz w:val="20"/>
                <w:szCs w:val="20"/>
              </w:rPr>
              <w:t>pH</w:t>
            </w:r>
            <w:proofErr w:type="spellEnd"/>
            <w:r w:rsidRPr="00174CE1">
              <w:rPr>
                <w:rFonts w:cs="Times New Roman"/>
                <w:color w:val="000000"/>
                <w:sz w:val="20"/>
                <w:szCs w:val="20"/>
              </w:rPr>
              <w:t xml:space="preserve"> elektrods </w:t>
            </w:r>
            <w:proofErr w:type="spellStart"/>
            <w:r w:rsidRPr="00174CE1">
              <w:rPr>
                <w:rFonts w:cs="Times New Roman"/>
                <w:color w:val="000000"/>
                <w:sz w:val="20"/>
                <w:szCs w:val="20"/>
              </w:rPr>
              <w:t>Mettler</w:t>
            </w:r>
            <w:proofErr w:type="spellEnd"/>
            <w:r w:rsidRPr="00174CE1">
              <w:rPr>
                <w:rFonts w:cs="Times New Roman"/>
                <w:color w:val="000000"/>
                <w:sz w:val="20"/>
                <w:szCs w:val="20"/>
              </w:rPr>
              <w:t>/</w:t>
            </w:r>
            <w:proofErr w:type="spellStart"/>
            <w:r w:rsidRPr="00174CE1">
              <w:rPr>
                <w:rFonts w:cs="Times New Roman"/>
                <w:color w:val="000000"/>
                <w:sz w:val="20"/>
                <w:szCs w:val="20"/>
              </w:rPr>
              <w:t>Toledo</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pH</w:t>
            </w:r>
            <w:proofErr w:type="spellEnd"/>
            <w:r w:rsidRPr="00174CE1">
              <w:rPr>
                <w:rFonts w:cs="Times New Roman"/>
                <w:color w:val="000000"/>
                <w:sz w:val="20"/>
                <w:szCs w:val="20"/>
              </w:rPr>
              <w:t xml:space="preserve">-metram ar iebūvētu temperatūras zondi NTC 30 </w:t>
            </w:r>
            <w:proofErr w:type="spellStart"/>
            <w:r w:rsidRPr="00174CE1">
              <w:rPr>
                <w:rFonts w:cs="Times New Roman"/>
                <w:color w:val="000000"/>
                <w:sz w:val="20"/>
                <w:szCs w:val="20"/>
              </w:rPr>
              <w:t>kOhm</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pH</w:t>
            </w:r>
            <w:proofErr w:type="spellEnd"/>
            <w:r w:rsidRPr="00174CE1">
              <w:rPr>
                <w:rFonts w:cs="Times New Roman"/>
                <w:color w:val="000000"/>
                <w:sz w:val="20"/>
                <w:szCs w:val="20"/>
              </w:rPr>
              <w:t xml:space="preserve"> diapazons: 0-14; temperatūras diapazons: 0-80 °; ar </w:t>
            </w:r>
            <w:proofErr w:type="spellStart"/>
            <w:r w:rsidRPr="00174CE1">
              <w:rPr>
                <w:rFonts w:cs="Times New Roman"/>
                <w:color w:val="000000"/>
                <w:sz w:val="20"/>
                <w:szCs w:val="20"/>
              </w:rPr>
              <w:t>gela</w:t>
            </w:r>
            <w:proofErr w:type="spellEnd"/>
            <w:r w:rsidRPr="00174CE1">
              <w:rPr>
                <w:rFonts w:cs="Times New Roman"/>
                <w:color w:val="000000"/>
                <w:sz w:val="20"/>
                <w:szCs w:val="20"/>
              </w:rPr>
              <w:t xml:space="preserve"> tipa elektrolītu ;  </w:t>
            </w:r>
            <w:proofErr w:type="spellStart"/>
            <w:r w:rsidRPr="00174CE1">
              <w:rPr>
                <w:rFonts w:cs="Times New Roman"/>
                <w:color w:val="000000"/>
                <w:sz w:val="20"/>
                <w:szCs w:val="20"/>
              </w:rPr>
              <w:t>Mettler</w:t>
            </w:r>
            <w:proofErr w:type="spellEnd"/>
            <w:r w:rsidRPr="00174CE1">
              <w:rPr>
                <w:rFonts w:cs="Times New Roman"/>
                <w:color w:val="000000"/>
                <w:sz w:val="20"/>
                <w:szCs w:val="20"/>
              </w:rPr>
              <w:t>/</w:t>
            </w:r>
            <w:proofErr w:type="spellStart"/>
            <w:r w:rsidRPr="00174CE1">
              <w:rPr>
                <w:rFonts w:cs="Times New Roman"/>
                <w:color w:val="000000"/>
                <w:sz w:val="20"/>
                <w:szCs w:val="20"/>
              </w:rPr>
              <w:t>Toledo</w:t>
            </w:r>
            <w:proofErr w:type="spellEnd"/>
            <w:r w:rsidRPr="00174CE1">
              <w:rPr>
                <w:rFonts w:cs="Times New Roman"/>
                <w:color w:val="000000"/>
                <w:sz w:val="20"/>
                <w:szCs w:val="20"/>
              </w:rPr>
              <w:t xml:space="preserve"> kataloga </w:t>
            </w:r>
            <w:proofErr w:type="spellStart"/>
            <w:r w:rsidRPr="00174CE1">
              <w:rPr>
                <w:rFonts w:cs="Times New Roman"/>
                <w:color w:val="000000"/>
                <w:sz w:val="20"/>
                <w:szCs w:val="20"/>
              </w:rPr>
              <w:t>nr</w:t>
            </w:r>
            <w:proofErr w:type="spellEnd"/>
            <w:r w:rsidRPr="00174CE1">
              <w:rPr>
                <w:rFonts w:cs="Times New Roman"/>
                <w:color w:val="000000"/>
                <w:sz w:val="20"/>
                <w:szCs w:val="20"/>
              </w:rPr>
              <w:t xml:space="preserve">  LE438  vai ekvivalents</w:t>
            </w:r>
            <w:r w:rsidR="00166794">
              <w:rPr>
                <w:rFonts w:cs="Times New Roman"/>
                <w:color w:val="000000"/>
                <w:sz w:val="20"/>
                <w:szCs w:val="20"/>
              </w:rPr>
              <w:t>.</w:t>
            </w:r>
          </w:p>
        </w:tc>
        <w:tc>
          <w:tcPr>
            <w:tcW w:w="1139" w:type="dxa"/>
            <w:shd w:val="clear" w:color="000000" w:fill="FFFFFF"/>
            <w:noWrap/>
            <w:vAlign w:val="bottom"/>
            <w:hideMark/>
          </w:tcPr>
          <w:p w14:paraId="49DF8A1B"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000000" w:fill="FFFFFF"/>
            <w:noWrap/>
            <w:vAlign w:val="bottom"/>
            <w:hideMark/>
          </w:tcPr>
          <w:p w14:paraId="1FC1FC09"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w:t>
            </w:r>
          </w:p>
        </w:tc>
        <w:tc>
          <w:tcPr>
            <w:tcW w:w="4442" w:type="dxa"/>
            <w:shd w:val="clear" w:color="000000" w:fill="FFFFFF"/>
          </w:tcPr>
          <w:p w14:paraId="6FEEB105"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2E69A38E" w14:textId="77777777" w:rsidTr="00FD02D7">
        <w:trPr>
          <w:trHeight w:val="300"/>
        </w:trPr>
        <w:tc>
          <w:tcPr>
            <w:tcW w:w="883" w:type="dxa"/>
            <w:shd w:val="clear" w:color="auto" w:fill="auto"/>
            <w:noWrap/>
            <w:hideMark/>
          </w:tcPr>
          <w:p w14:paraId="218E8291"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8</w:t>
            </w:r>
          </w:p>
        </w:tc>
        <w:tc>
          <w:tcPr>
            <w:tcW w:w="2520" w:type="dxa"/>
            <w:shd w:val="clear" w:color="auto" w:fill="auto"/>
            <w:vAlign w:val="bottom"/>
            <w:hideMark/>
          </w:tcPr>
          <w:p w14:paraId="7333B0C4" w14:textId="77777777" w:rsidR="001A2D0A" w:rsidRPr="00174CE1" w:rsidRDefault="001A2D0A" w:rsidP="001A2D0A">
            <w:pPr>
              <w:spacing w:after="0" w:line="240" w:lineRule="auto"/>
              <w:jc w:val="both"/>
              <w:rPr>
                <w:rFonts w:cs="Times New Roman"/>
                <w:color w:val="000000"/>
                <w:sz w:val="20"/>
                <w:szCs w:val="20"/>
              </w:rPr>
            </w:pPr>
            <w:proofErr w:type="spellStart"/>
            <w:r w:rsidRPr="00174CE1">
              <w:rPr>
                <w:rFonts w:cs="Times New Roman"/>
                <w:color w:val="000000"/>
                <w:sz w:val="20"/>
                <w:szCs w:val="20"/>
              </w:rPr>
              <w:t>Fluoriscentās</w:t>
            </w:r>
            <w:proofErr w:type="spellEnd"/>
            <w:r w:rsidRPr="00174CE1">
              <w:rPr>
                <w:rFonts w:cs="Times New Roman"/>
                <w:color w:val="000000"/>
                <w:sz w:val="20"/>
                <w:szCs w:val="20"/>
              </w:rPr>
              <w:t xml:space="preserve"> lampas QUV novecināšanas kamerai</w:t>
            </w:r>
          </w:p>
        </w:tc>
        <w:tc>
          <w:tcPr>
            <w:tcW w:w="4767" w:type="dxa"/>
            <w:shd w:val="clear" w:color="auto" w:fill="auto"/>
            <w:vAlign w:val="bottom"/>
            <w:hideMark/>
          </w:tcPr>
          <w:p w14:paraId="211142F8" w14:textId="77777777" w:rsidR="001A2D0A" w:rsidRPr="00174CE1" w:rsidRDefault="001A2D0A" w:rsidP="001A2D0A">
            <w:pPr>
              <w:jc w:val="both"/>
              <w:rPr>
                <w:rFonts w:cs="Times New Roman"/>
                <w:color w:val="000000"/>
                <w:sz w:val="20"/>
                <w:szCs w:val="20"/>
              </w:rPr>
            </w:pPr>
            <w:r w:rsidRPr="00174CE1">
              <w:rPr>
                <w:rFonts w:cs="Times New Roman"/>
                <w:color w:val="000000"/>
                <w:sz w:val="20"/>
                <w:szCs w:val="20"/>
              </w:rPr>
              <w:t xml:space="preserve"> UV-A 340 </w:t>
            </w:r>
            <w:proofErr w:type="spellStart"/>
            <w:r w:rsidRPr="00174CE1">
              <w:rPr>
                <w:rFonts w:cs="Times New Roman"/>
                <w:color w:val="000000"/>
                <w:sz w:val="20"/>
                <w:szCs w:val="20"/>
              </w:rPr>
              <w:t>nm</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fluoriscentās</w:t>
            </w:r>
            <w:proofErr w:type="spellEnd"/>
            <w:r w:rsidRPr="00174CE1">
              <w:rPr>
                <w:rFonts w:cs="Times New Roman"/>
                <w:color w:val="000000"/>
                <w:sz w:val="20"/>
                <w:szCs w:val="20"/>
              </w:rPr>
              <w:t xml:space="preserve"> lampas novecināšanas kamerai Q-</w:t>
            </w:r>
            <w:proofErr w:type="spellStart"/>
            <w:r w:rsidRPr="00174CE1">
              <w:rPr>
                <w:rFonts w:cs="Times New Roman"/>
                <w:color w:val="000000"/>
                <w:sz w:val="20"/>
                <w:szCs w:val="20"/>
              </w:rPr>
              <w:t>Lab</w:t>
            </w:r>
            <w:proofErr w:type="spellEnd"/>
            <w:r w:rsidRPr="00174CE1">
              <w:rPr>
                <w:rFonts w:cs="Times New Roman"/>
                <w:color w:val="000000"/>
                <w:sz w:val="20"/>
                <w:szCs w:val="20"/>
              </w:rPr>
              <w:t xml:space="preserve"> QUV. Jauda: 40 W; Garums: 130 cm;  Q-</w:t>
            </w:r>
            <w:proofErr w:type="spellStart"/>
            <w:r w:rsidRPr="00174CE1">
              <w:rPr>
                <w:rFonts w:cs="Times New Roman"/>
                <w:color w:val="000000"/>
                <w:sz w:val="20"/>
                <w:szCs w:val="20"/>
              </w:rPr>
              <w:t>Lab</w:t>
            </w:r>
            <w:proofErr w:type="spellEnd"/>
            <w:r w:rsidRPr="00174CE1">
              <w:rPr>
                <w:rFonts w:cs="Times New Roman"/>
                <w:color w:val="000000"/>
                <w:sz w:val="20"/>
                <w:szCs w:val="20"/>
              </w:rPr>
              <w:t xml:space="preserve">  kataloga nr. UVA-340 vai ekvivalents. Daudzums:   12 gab.</w:t>
            </w:r>
          </w:p>
        </w:tc>
        <w:tc>
          <w:tcPr>
            <w:tcW w:w="1139" w:type="dxa"/>
            <w:shd w:val="clear" w:color="auto" w:fill="auto"/>
            <w:noWrap/>
            <w:vAlign w:val="bottom"/>
            <w:hideMark/>
          </w:tcPr>
          <w:p w14:paraId="2E42EFFF"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000000" w:fill="FFFFFF"/>
            <w:noWrap/>
            <w:vAlign w:val="bottom"/>
            <w:hideMark/>
          </w:tcPr>
          <w:p w14:paraId="58FDE38D"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12</w:t>
            </w:r>
          </w:p>
        </w:tc>
        <w:tc>
          <w:tcPr>
            <w:tcW w:w="4442" w:type="dxa"/>
            <w:shd w:val="clear" w:color="000000" w:fill="FFFFFF"/>
          </w:tcPr>
          <w:p w14:paraId="1F0F70DD"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10C0A3BA" w14:textId="77777777" w:rsidTr="00FD02D7">
        <w:trPr>
          <w:trHeight w:val="900"/>
        </w:trPr>
        <w:tc>
          <w:tcPr>
            <w:tcW w:w="883" w:type="dxa"/>
            <w:shd w:val="clear" w:color="auto" w:fill="auto"/>
            <w:noWrap/>
            <w:hideMark/>
          </w:tcPr>
          <w:p w14:paraId="25B44D30"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9</w:t>
            </w:r>
          </w:p>
        </w:tc>
        <w:tc>
          <w:tcPr>
            <w:tcW w:w="2520" w:type="dxa"/>
            <w:shd w:val="clear" w:color="auto" w:fill="auto"/>
            <w:vAlign w:val="bottom"/>
            <w:hideMark/>
          </w:tcPr>
          <w:p w14:paraId="1101F2AC"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DSC panniņas</w:t>
            </w:r>
          </w:p>
        </w:tc>
        <w:tc>
          <w:tcPr>
            <w:tcW w:w="4767" w:type="dxa"/>
            <w:shd w:val="clear" w:color="auto" w:fill="auto"/>
            <w:vAlign w:val="bottom"/>
            <w:hideMark/>
          </w:tcPr>
          <w:p w14:paraId="12C767DC" w14:textId="6083CA7D" w:rsidR="001A2D0A" w:rsidRPr="00174CE1" w:rsidRDefault="00DE3F63" w:rsidP="001A2D0A">
            <w:pPr>
              <w:jc w:val="both"/>
              <w:rPr>
                <w:rFonts w:cs="Times New Roman"/>
                <w:color w:val="000000"/>
                <w:sz w:val="20"/>
                <w:szCs w:val="20"/>
              </w:rPr>
            </w:pPr>
            <w:r w:rsidRPr="00DE3F63">
              <w:rPr>
                <w:rFonts w:cs="Times New Roman"/>
                <w:color w:val="000000"/>
                <w:sz w:val="20"/>
                <w:szCs w:val="20"/>
              </w:rPr>
              <w:t>Alumīnija panniņas ar pin/</w:t>
            </w:r>
            <w:proofErr w:type="spellStart"/>
            <w:r w:rsidRPr="00DE3F63">
              <w:rPr>
                <w:rFonts w:cs="Times New Roman"/>
                <w:color w:val="000000"/>
                <w:sz w:val="20"/>
                <w:szCs w:val="20"/>
              </w:rPr>
              <w:t>kontakttapiņu</w:t>
            </w:r>
            <w:proofErr w:type="spellEnd"/>
            <w:r w:rsidRPr="00DE3F63">
              <w:rPr>
                <w:rFonts w:cs="Times New Roman"/>
                <w:color w:val="000000"/>
                <w:sz w:val="20"/>
                <w:szCs w:val="20"/>
              </w:rPr>
              <w:t xml:space="preserve"> un vāciņiem DSC eksperimentiem, izmantojamas </w:t>
            </w:r>
            <w:proofErr w:type="spellStart"/>
            <w:r w:rsidRPr="00DE3F63">
              <w:rPr>
                <w:rFonts w:cs="Times New Roman"/>
                <w:color w:val="000000"/>
                <w:sz w:val="20"/>
                <w:szCs w:val="20"/>
              </w:rPr>
              <w:t>Mettler</w:t>
            </w:r>
            <w:proofErr w:type="spellEnd"/>
            <w:r w:rsidRPr="00DE3F63">
              <w:rPr>
                <w:rFonts w:cs="Times New Roman"/>
                <w:color w:val="000000"/>
                <w:sz w:val="20"/>
                <w:szCs w:val="20"/>
              </w:rPr>
              <w:t>/</w:t>
            </w:r>
            <w:proofErr w:type="spellStart"/>
            <w:r w:rsidRPr="00DE3F63">
              <w:rPr>
                <w:rFonts w:cs="Times New Roman"/>
                <w:color w:val="000000"/>
                <w:sz w:val="20"/>
                <w:szCs w:val="20"/>
              </w:rPr>
              <w:t>Toledo</w:t>
            </w:r>
            <w:proofErr w:type="spellEnd"/>
            <w:r w:rsidRPr="00DE3F63">
              <w:rPr>
                <w:rFonts w:cs="Times New Roman"/>
                <w:color w:val="000000"/>
                <w:sz w:val="20"/>
                <w:szCs w:val="20"/>
              </w:rPr>
              <w:t xml:space="preserve"> DSC-1 diferenciālajam skenējošajam kalorimetram; Tilpums: 40 </w:t>
            </w:r>
            <w:proofErr w:type="spellStart"/>
            <w:r w:rsidRPr="00DE3F63">
              <w:rPr>
                <w:rFonts w:cs="Times New Roman"/>
                <w:color w:val="000000"/>
                <w:sz w:val="20"/>
                <w:szCs w:val="20"/>
              </w:rPr>
              <w:t>ul</w:t>
            </w:r>
            <w:proofErr w:type="spellEnd"/>
            <w:r w:rsidRPr="00DE3F63">
              <w:rPr>
                <w:rFonts w:cs="Times New Roman"/>
                <w:color w:val="000000"/>
                <w:sz w:val="20"/>
                <w:szCs w:val="20"/>
              </w:rPr>
              <w:t xml:space="preserve">. ;  </w:t>
            </w:r>
            <w:proofErr w:type="spellStart"/>
            <w:r w:rsidRPr="00DE3F63">
              <w:rPr>
                <w:rFonts w:cs="Times New Roman"/>
                <w:color w:val="000000"/>
                <w:sz w:val="20"/>
                <w:szCs w:val="20"/>
              </w:rPr>
              <w:t>Mettler</w:t>
            </w:r>
            <w:proofErr w:type="spellEnd"/>
            <w:r w:rsidRPr="00DE3F63">
              <w:rPr>
                <w:rFonts w:cs="Times New Roman"/>
                <w:color w:val="000000"/>
                <w:sz w:val="20"/>
                <w:szCs w:val="20"/>
              </w:rPr>
              <w:t>/</w:t>
            </w:r>
            <w:proofErr w:type="spellStart"/>
            <w:r w:rsidRPr="00DE3F63">
              <w:rPr>
                <w:rFonts w:cs="Times New Roman"/>
                <w:color w:val="000000"/>
                <w:sz w:val="20"/>
                <w:szCs w:val="20"/>
              </w:rPr>
              <w:t>Toledo</w:t>
            </w:r>
            <w:proofErr w:type="spellEnd"/>
            <w:r w:rsidRPr="00DE3F63">
              <w:rPr>
                <w:rFonts w:cs="Times New Roman"/>
                <w:color w:val="000000"/>
                <w:sz w:val="20"/>
                <w:szCs w:val="20"/>
              </w:rPr>
              <w:t xml:space="preserve"> produktu kataloga </w:t>
            </w:r>
            <w:proofErr w:type="spellStart"/>
            <w:r w:rsidRPr="00DE3F63">
              <w:rPr>
                <w:rFonts w:cs="Times New Roman"/>
                <w:color w:val="000000"/>
                <w:sz w:val="20"/>
                <w:szCs w:val="20"/>
              </w:rPr>
              <w:t>nr</w:t>
            </w:r>
            <w:proofErr w:type="spellEnd"/>
            <w:r w:rsidRPr="00DE3F63">
              <w:rPr>
                <w:rFonts w:cs="Times New Roman"/>
                <w:color w:val="000000"/>
                <w:sz w:val="20"/>
                <w:szCs w:val="20"/>
              </w:rPr>
              <w:t xml:space="preserve"> 27331 vai ekvivalents.  Komplektā 100 gab.</w:t>
            </w:r>
          </w:p>
        </w:tc>
        <w:tc>
          <w:tcPr>
            <w:tcW w:w="1139" w:type="dxa"/>
            <w:shd w:val="clear" w:color="auto" w:fill="auto"/>
            <w:noWrap/>
            <w:vAlign w:val="bottom"/>
            <w:hideMark/>
          </w:tcPr>
          <w:p w14:paraId="06E81F51" w14:textId="77777777" w:rsidR="001A2D0A" w:rsidRPr="00174CE1" w:rsidRDefault="001A2D0A" w:rsidP="001A2D0A">
            <w:pPr>
              <w:jc w:val="center"/>
              <w:rPr>
                <w:rFonts w:cs="Times New Roman"/>
                <w:color w:val="000000"/>
                <w:sz w:val="20"/>
                <w:szCs w:val="20"/>
              </w:rPr>
            </w:pPr>
            <w:r w:rsidRPr="00174CE1">
              <w:rPr>
                <w:rFonts w:cs="Times New Roman"/>
                <w:color w:val="000000"/>
                <w:sz w:val="20"/>
                <w:szCs w:val="20"/>
              </w:rPr>
              <w:t>kompl</w:t>
            </w:r>
            <w:r>
              <w:rPr>
                <w:rFonts w:cs="Times New Roman"/>
                <w:color w:val="000000"/>
                <w:sz w:val="20"/>
                <w:szCs w:val="20"/>
              </w:rPr>
              <w:t>ekts</w:t>
            </w:r>
          </w:p>
        </w:tc>
        <w:tc>
          <w:tcPr>
            <w:tcW w:w="992" w:type="dxa"/>
            <w:shd w:val="clear" w:color="000000" w:fill="FFFFFF"/>
            <w:noWrap/>
            <w:vAlign w:val="bottom"/>
            <w:hideMark/>
          </w:tcPr>
          <w:p w14:paraId="12062957"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2</w:t>
            </w:r>
          </w:p>
        </w:tc>
        <w:tc>
          <w:tcPr>
            <w:tcW w:w="4442" w:type="dxa"/>
            <w:shd w:val="clear" w:color="000000" w:fill="FFFFFF"/>
          </w:tcPr>
          <w:p w14:paraId="116CA9F4"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6E8B6C24" w14:textId="77777777" w:rsidTr="00FD02D7">
        <w:trPr>
          <w:trHeight w:val="600"/>
        </w:trPr>
        <w:tc>
          <w:tcPr>
            <w:tcW w:w="883" w:type="dxa"/>
            <w:shd w:val="clear" w:color="auto" w:fill="auto"/>
            <w:noWrap/>
            <w:hideMark/>
          </w:tcPr>
          <w:p w14:paraId="4955BEE2" w14:textId="77777777" w:rsidR="001A2D0A" w:rsidRPr="007448A4" w:rsidRDefault="001A2D0A" w:rsidP="001A2D0A">
            <w:pPr>
              <w:spacing w:after="0" w:line="240" w:lineRule="auto"/>
              <w:jc w:val="center"/>
              <w:rPr>
                <w:rFonts w:eastAsia="Times New Roman" w:cs="Times New Roman"/>
                <w:color w:val="000000"/>
                <w:sz w:val="20"/>
                <w:szCs w:val="20"/>
                <w:lang w:eastAsia="lv-LV"/>
              </w:rPr>
            </w:pPr>
            <w:r w:rsidRPr="007448A4">
              <w:rPr>
                <w:rFonts w:eastAsia="Times New Roman" w:cs="Times New Roman"/>
                <w:color w:val="000000"/>
                <w:sz w:val="20"/>
                <w:szCs w:val="20"/>
                <w:lang w:eastAsia="lv-LV"/>
              </w:rPr>
              <w:t>10</w:t>
            </w:r>
          </w:p>
        </w:tc>
        <w:tc>
          <w:tcPr>
            <w:tcW w:w="2520" w:type="dxa"/>
            <w:shd w:val="clear" w:color="auto" w:fill="auto"/>
            <w:vAlign w:val="bottom"/>
            <w:hideMark/>
          </w:tcPr>
          <w:p w14:paraId="7988B34C" w14:textId="77777777" w:rsidR="001A2D0A" w:rsidRPr="007448A4" w:rsidRDefault="001A2D0A" w:rsidP="001A2D0A">
            <w:pPr>
              <w:spacing w:after="0" w:line="240" w:lineRule="auto"/>
              <w:jc w:val="both"/>
              <w:rPr>
                <w:rFonts w:cs="Times New Roman"/>
                <w:color w:val="000000"/>
                <w:sz w:val="20"/>
                <w:szCs w:val="20"/>
              </w:rPr>
            </w:pPr>
            <w:proofErr w:type="spellStart"/>
            <w:r w:rsidRPr="007448A4">
              <w:rPr>
                <w:rFonts w:cs="Times New Roman"/>
                <w:color w:val="000000"/>
                <w:sz w:val="20"/>
                <w:szCs w:val="20"/>
              </w:rPr>
              <w:t>Dijodometāns</w:t>
            </w:r>
            <w:proofErr w:type="spellEnd"/>
            <w:r w:rsidRPr="007448A4">
              <w:rPr>
                <w:rFonts w:cs="Times New Roman"/>
                <w:color w:val="000000"/>
                <w:sz w:val="20"/>
                <w:szCs w:val="20"/>
              </w:rPr>
              <w:t xml:space="preserve"> virsmas enerģijas mērījumiem (100 ml)</w:t>
            </w:r>
          </w:p>
        </w:tc>
        <w:tc>
          <w:tcPr>
            <w:tcW w:w="4767" w:type="dxa"/>
            <w:shd w:val="clear" w:color="auto" w:fill="auto"/>
            <w:vAlign w:val="bottom"/>
            <w:hideMark/>
          </w:tcPr>
          <w:p w14:paraId="0C536A97" w14:textId="32CC387B" w:rsidR="001A2D0A" w:rsidRPr="007448A4" w:rsidRDefault="00DE3F63" w:rsidP="001A2D0A">
            <w:pPr>
              <w:jc w:val="both"/>
              <w:rPr>
                <w:rFonts w:cs="Times New Roman"/>
                <w:color w:val="000000"/>
                <w:sz w:val="20"/>
                <w:szCs w:val="20"/>
              </w:rPr>
            </w:pPr>
            <w:proofErr w:type="spellStart"/>
            <w:r w:rsidRPr="007448A4">
              <w:rPr>
                <w:rFonts w:cs="Times New Roman"/>
                <w:color w:val="000000"/>
                <w:sz w:val="20"/>
                <w:szCs w:val="20"/>
              </w:rPr>
              <w:t>Dijo</w:t>
            </w:r>
            <w:r>
              <w:rPr>
                <w:rFonts w:cs="Times New Roman"/>
                <w:color w:val="000000"/>
                <w:sz w:val="20"/>
                <w:szCs w:val="20"/>
              </w:rPr>
              <w:t>dometāns</w:t>
            </w:r>
            <w:proofErr w:type="spellEnd"/>
            <w:r>
              <w:rPr>
                <w:rFonts w:cs="Times New Roman"/>
                <w:color w:val="000000"/>
                <w:sz w:val="20"/>
                <w:szCs w:val="20"/>
              </w:rPr>
              <w:t>, tīrība ≥ 99%, tilpums</w:t>
            </w:r>
            <w:r w:rsidRPr="007448A4">
              <w:rPr>
                <w:rFonts w:cs="Times New Roman"/>
                <w:color w:val="000000"/>
                <w:sz w:val="20"/>
                <w:szCs w:val="20"/>
              </w:rPr>
              <w:t xml:space="preserve"> 100</w:t>
            </w:r>
            <w:r>
              <w:rPr>
                <w:rFonts w:cs="Times New Roman"/>
                <w:color w:val="000000"/>
                <w:sz w:val="20"/>
                <w:szCs w:val="20"/>
              </w:rPr>
              <w:t>ml</w:t>
            </w:r>
            <w:r w:rsidRPr="007448A4">
              <w:rPr>
                <w:rFonts w:cs="Times New Roman"/>
                <w:color w:val="000000"/>
                <w:sz w:val="20"/>
                <w:szCs w:val="20"/>
              </w:rPr>
              <w:t xml:space="preserve"> oriģinālā iepakojumā;  Sigma-</w:t>
            </w:r>
            <w:proofErr w:type="spellStart"/>
            <w:r w:rsidRPr="007448A4">
              <w:rPr>
                <w:rFonts w:cs="Times New Roman"/>
                <w:color w:val="000000"/>
                <w:sz w:val="20"/>
                <w:szCs w:val="20"/>
              </w:rPr>
              <w:t>Aldrich</w:t>
            </w:r>
            <w:proofErr w:type="spellEnd"/>
            <w:r w:rsidRPr="007448A4">
              <w:rPr>
                <w:rFonts w:cs="Times New Roman"/>
                <w:color w:val="000000"/>
                <w:sz w:val="20"/>
                <w:szCs w:val="20"/>
              </w:rPr>
              <w:t xml:space="preserve"> kataloga </w:t>
            </w:r>
            <w:proofErr w:type="spellStart"/>
            <w:r w:rsidRPr="007448A4">
              <w:rPr>
                <w:rFonts w:cs="Times New Roman"/>
                <w:color w:val="000000"/>
                <w:sz w:val="20"/>
                <w:szCs w:val="20"/>
              </w:rPr>
              <w:t>nr</w:t>
            </w:r>
            <w:proofErr w:type="spellEnd"/>
            <w:r w:rsidRPr="007448A4">
              <w:rPr>
                <w:rFonts w:cs="Times New Roman"/>
                <w:color w:val="000000"/>
                <w:sz w:val="20"/>
                <w:szCs w:val="20"/>
              </w:rPr>
              <w:t xml:space="preserve"> 158429 vai ekvivalents</w:t>
            </w:r>
            <w:r w:rsidR="00166794">
              <w:rPr>
                <w:rFonts w:cs="Times New Roman"/>
                <w:color w:val="000000"/>
                <w:sz w:val="20"/>
                <w:szCs w:val="20"/>
              </w:rPr>
              <w:t>.</w:t>
            </w:r>
          </w:p>
        </w:tc>
        <w:tc>
          <w:tcPr>
            <w:tcW w:w="1139" w:type="dxa"/>
            <w:shd w:val="clear" w:color="auto" w:fill="auto"/>
            <w:noWrap/>
            <w:vAlign w:val="bottom"/>
            <w:hideMark/>
          </w:tcPr>
          <w:p w14:paraId="772CDF9F" w14:textId="77777777" w:rsidR="001A2D0A" w:rsidRPr="007448A4" w:rsidRDefault="001A2D0A" w:rsidP="001A2D0A">
            <w:pPr>
              <w:jc w:val="center"/>
              <w:rPr>
                <w:rFonts w:cs="Times New Roman"/>
                <w:color w:val="000000"/>
                <w:sz w:val="20"/>
                <w:szCs w:val="20"/>
              </w:rPr>
            </w:pPr>
            <w:r w:rsidRPr="007448A4">
              <w:rPr>
                <w:rFonts w:cs="Times New Roman"/>
                <w:color w:val="000000"/>
                <w:sz w:val="20"/>
                <w:szCs w:val="20"/>
              </w:rPr>
              <w:t>iepakojums</w:t>
            </w:r>
          </w:p>
        </w:tc>
        <w:tc>
          <w:tcPr>
            <w:tcW w:w="992" w:type="dxa"/>
            <w:shd w:val="clear" w:color="000000" w:fill="FFFFFF"/>
            <w:noWrap/>
            <w:vAlign w:val="bottom"/>
            <w:hideMark/>
          </w:tcPr>
          <w:p w14:paraId="0F8BBC85" w14:textId="77777777" w:rsidR="001A2D0A" w:rsidRPr="001A2D0A" w:rsidRDefault="001A2D0A" w:rsidP="001A2D0A">
            <w:pPr>
              <w:jc w:val="center"/>
              <w:rPr>
                <w:rFonts w:cs="Times New Roman"/>
                <w:color w:val="000000"/>
                <w:sz w:val="20"/>
                <w:szCs w:val="20"/>
              </w:rPr>
            </w:pPr>
            <w:r w:rsidRPr="007448A4">
              <w:rPr>
                <w:rFonts w:cs="Times New Roman"/>
                <w:color w:val="000000"/>
                <w:sz w:val="20"/>
                <w:szCs w:val="20"/>
              </w:rPr>
              <w:t>1</w:t>
            </w:r>
          </w:p>
        </w:tc>
        <w:tc>
          <w:tcPr>
            <w:tcW w:w="4442" w:type="dxa"/>
            <w:shd w:val="clear" w:color="000000" w:fill="FFFFFF"/>
          </w:tcPr>
          <w:p w14:paraId="7ECBE133"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4907B5D8" w14:textId="77777777" w:rsidTr="00FD02D7">
        <w:trPr>
          <w:trHeight w:val="600"/>
        </w:trPr>
        <w:tc>
          <w:tcPr>
            <w:tcW w:w="883" w:type="dxa"/>
            <w:shd w:val="clear" w:color="auto" w:fill="auto"/>
            <w:noWrap/>
            <w:hideMark/>
          </w:tcPr>
          <w:p w14:paraId="75C0A2C7"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11</w:t>
            </w:r>
          </w:p>
        </w:tc>
        <w:tc>
          <w:tcPr>
            <w:tcW w:w="2520" w:type="dxa"/>
            <w:shd w:val="clear" w:color="auto" w:fill="auto"/>
            <w:vAlign w:val="bottom"/>
            <w:hideMark/>
          </w:tcPr>
          <w:p w14:paraId="7A319650"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Kvadrātveida paraugu turētāji (4 gab.)</w:t>
            </w:r>
          </w:p>
        </w:tc>
        <w:tc>
          <w:tcPr>
            <w:tcW w:w="4767" w:type="dxa"/>
            <w:shd w:val="clear" w:color="auto" w:fill="auto"/>
            <w:vAlign w:val="bottom"/>
            <w:hideMark/>
          </w:tcPr>
          <w:p w14:paraId="5B607C2A" w14:textId="44BD7206" w:rsidR="001A2D0A" w:rsidRPr="00174CE1" w:rsidRDefault="001A2D0A" w:rsidP="001A2D0A">
            <w:pPr>
              <w:jc w:val="both"/>
              <w:rPr>
                <w:rFonts w:cs="Times New Roman"/>
                <w:color w:val="000000"/>
                <w:sz w:val="20"/>
                <w:szCs w:val="20"/>
              </w:rPr>
            </w:pPr>
            <w:r w:rsidRPr="00174CE1">
              <w:rPr>
                <w:rFonts w:cs="Times New Roman"/>
                <w:sz w:val="20"/>
                <w:szCs w:val="20"/>
              </w:rPr>
              <w:t xml:space="preserve">Kvadrātveida paraugu turētāji, </w:t>
            </w:r>
            <w:proofErr w:type="spellStart"/>
            <w:r w:rsidRPr="00174CE1">
              <w:rPr>
                <w:rFonts w:cs="Times New Roman"/>
                <w:sz w:val="20"/>
                <w:szCs w:val="20"/>
              </w:rPr>
              <w:t>siltumvadāmības</w:t>
            </w:r>
            <w:proofErr w:type="spellEnd"/>
            <w:r w:rsidRPr="00174CE1">
              <w:rPr>
                <w:rFonts w:cs="Times New Roman"/>
                <w:sz w:val="20"/>
                <w:szCs w:val="20"/>
              </w:rPr>
              <w:t xml:space="preserve"> iekārtai LFA447+MTX. </w:t>
            </w:r>
            <w:r w:rsidRPr="00174CE1">
              <w:rPr>
                <w:rFonts w:cs="Times New Roman"/>
                <w:color w:val="000000"/>
                <w:sz w:val="20"/>
                <w:szCs w:val="20"/>
              </w:rPr>
              <w:t>NETZSCH-</w:t>
            </w:r>
            <w:proofErr w:type="spellStart"/>
            <w:r w:rsidRPr="00174CE1">
              <w:rPr>
                <w:rFonts w:cs="Times New Roman"/>
                <w:color w:val="000000"/>
                <w:sz w:val="20"/>
                <w:szCs w:val="20"/>
              </w:rPr>
              <w:t>GeratebauGmBH</w:t>
            </w:r>
            <w:proofErr w:type="spellEnd"/>
            <w:r w:rsidRPr="00174CE1">
              <w:rPr>
                <w:rFonts w:cs="Times New Roman"/>
                <w:color w:val="000000"/>
                <w:sz w:val="20"/>
                <w:szCs w:val="20"/>
              </w:rPr>
              <w:t xml:space="preserve"> LFA 447 + MTX </w:t>
            </w:r>
            <w:proofErr w:type="spellStart"/>
            <w:r w:rsidRPr="00174CE1">
              <w:rPr>
                <w:rFonts w:cs="Times New Roman"/>
                <w:color w:val="000000"/>
                <w:sz w:val="20"/>
                <w:szCs w:val="20"/>
              </w:rPr>
              <w:t>siltumvadāmības</w:t>
            </w:r>
            <w:proofErr w:type="spellEnd"/>
            <w:r w:rsidRPr="00174CE1">
              <w:rPr>
                <w:rFonts w:cs="Times New Roman"/>
                <w:color w:val="000000"/>
                <w:sz w:val="20"/>
                <w:szCs w:val="20"/>
              </w:rPr>
              <w:t xml:space="preserve"> iekārtas </w:t>
            </w:r>
            <w:proofErr w:type="spellStart"/>
            <w:r w:rsidRPr="00174CE1">
              <w:rPr>
                <w:rFonts w:cs="Times New Roman"/>
                <w:color w:val="000000"/>
                <w:sz w:val="20"/>
                <w:szCs w:val="20"/>
              </w:rPr>
              <w:t>Version</w:t>
            </w:r>
            <w:proofErr w:type="spellEnd"/>
            <w:r w:rsidRPr="00174CE1">
              <w:rPr>
                <w:rFonts w:cs="Times New Roman"/>
                <w:color w:val="000000"/>
                <w:sz w:val="20"/>
                <w:szCs w:val="20"/>
              </w:rPr>
              <w:t xml:space="preserve"> 2.6. kataloga nr. NIB/007115 vai ekvivalents</w:t>
            </w:r>
            <w:r w:rsidR="00166794">
              <w:rPr>
                <w:rFonts w:cs="Times New Roman"/>
                <w:color w:val="000000"/>
                <w:sz w:val="20"/>
                <w:szCs w:val="20"/>
              </w:rPr>
              <w:t>.</w:t>
            </w:r>
          </w:p>
        </w:tc>
        <w:tc>
          <w:tcPr>
            <w:tcW w:w="1139" w:type="dxa"/>
            <w:shd w:val="clear" w:color="auto" w:fill="auto"/>
            <w:noWrap/>
            <w:vAlign w:val="bottom"/>
            <w:hideMark/>
          </w:tcPr>
          <w:p w14:paraId="1F882FE6"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000000" w:fill="FFFFFF"/>
            <w:noWrap/>
            <w:vAlign w:val="bottom"/>
            <w:hideMark/>
          </w:tcPr>
          <w:p w14:paraId="46A25FD3"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4</w:t>
            </w:r>
          </w:p>
        </w:tc>
        <w:tc>
          <w:tcPr>
            <w:tcW w:w="4442" w:type="dxa"/>
            <w:shd w:val="clear" w:color="000000" w:fill="FFFFFF"/>
          </w:tcPr>
          <w:p w14:paraId="5E42F040"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A24D5E" w14:paraId="24BC98FF" w14:textId="77777777" w:rsidTr="00FD02D7">
        <w:trPr>
          <w:trHeight w:val="900"/>
        </w:trPr>
        <w:tc>
          <w:tcPr>
            <w:tcW w:w="883" w:type="dxa"/>
            <w:shd w:val="clear" w:color="auto" w:fill="auto"/>
            <w:noWrap/>
            <w:hideMark/>
          </w:tcPr>
          <w:p w14:paraId="47D7FD34"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t>12</w:t>
            </w:r>
          </w:p>
        </w:tc>
        <w:tc>
          <w:tcPr>
            <w:tcW w:w="2520" w:type="dxa"/>
            <w:shd w:val="clear" w:color="auto" w:fill="auto"/>
            <w:vAlign w:val="bottom"/>
            <w:hideMark/>
          </w:tcPr>
          <w:p w14:paraId="441996A5" w14:textId="77777777" w:rsidR="001A2D0A" w:rsidRPr="00174CE1" w:rsidRDefault="001A2D0A" w:rsidP="001A2D0A">
            <w:pPr>
              <w:spacing w:after="0" w:line="240" w:lineRule="auto"/>
              <w:jc w:val="both"/>
              <w:rPr>
                <w:rFonts w:cs="Times New Roman"/>
                <w:color w:val="000000"/>
                <w:sz w:val="20"/>
                <w:szCs w:val="20"/>
              </w:rPr>
            </w:pPr>
            <w:r w:rsidRPr="00174CE1">
              <w:rPr>
                <w:rFonts w:cs="Times New Roman"/>
                <w:color w:val="000000"/>
                <w:sz w:val="20"/>
                <w:szCs w:val="20"/>
              </w:rPr>
              <w:t xml:space="preserve">References materiāls "PYREX 7740"  </w:t>
            </w:r>
            <w:proofErr w:type="spellStart"/>
            <w:r w:rsidRPr="00174CE1">
              <w:rPr>
                <w:rFonts w:cs="Times New Roman"/>
                <w:color w:val="000000"/>
                <w:sz w:val="20"/>
                <w:szCs w:val="20"/>
              </w:rPr>
              <w:t>siltumvadāmības</w:t>
            </w:r>
            <w:proofErr w:type="spellEnd"/>
            <w:r w:rsidRPr="00174CE1">
              <w:rPr>
                <w:rFonts w:cs="Times New Roman"/>
                <w:color w:val="000000"/>
                <w:sz w:val="20"/>
                <w:szCs w:val="20"/>
              </w:rPr>
              <w:t xml:space="preserve"> mērījumiem</w:t>
            </w:r>
          </w:p>
        </w:tc>
        <w:tc>
          <w:tcPr>
            <w:tcW w:w="4767" w:type="dxa"/>
            <w:shd w:val="clear" w:color="auto" w:fill="auto"/>
            <w:vAlign w:val="bottom"/>
            <w:hideMark/>
          </w:tcPr>
          <w:p w14:paraId="24B52138" w14:textId="77777777" w:rsidR="001A2D0A" w:rsidRPr="00174CE1" w:rsidRDefault="001A2D0A" w:rsidP="001A2D0A">
            <w:pPr>
              <w:jc w:val="both"/>
              <w:rPr>
                <w:rFonts w:cs="Times New Roman"/>
                <w:color w:val="000000"/>
                <w:sz w:val="20"/>
                <w:szCs w:val="20"/>
              </w:rPr>
            </w:pPr>
            <w:r w:rsidRPr="00174CE1">
              <w:rPr>
                <w:rFonts w:cs="Times New Roman"/>
                <w:color w:val="000000"/>
                <w:sz w:val="20"/>
                <w:szCs w:val="20"/>
              </w:rPr>
              <w:t xml:space="preserve">References materiāls "PYREX 7740"  </w:t>
            </w:r>
            <w:proofErr w:type="spellStart"/>
            <w:r w:rsidRPr="00174CE1">
              <w:rPr>
                <w:rFonts w:cs="Times New Roman"/>
                <w:color w:val="000000"/>
                <w:sz w:val="20"/>
                <w:szCs w:val="20"/>
              </w:rPr>
              <w:t>siltumvadāmības</w:t>
            </w:r>
            <w:proofErr w:type="spellEnd"/>
            <w:r w:rsidRPr="00174CE1">
              <w:rPr>
                <w:rFonts w:cs="Times New Roman"/>
                <w:color w:val="000000"/>
                <w:sz w:val="20"/>
                <w:szCs w:val="20"/>
              </w:rPr>
              <w:t xml:space="preserve"> mērījumiem. Izmēri: 12.7*12.7 mm; Forma: kvadrāts;  Biezums: 1 mm. </w:t>
            </w:r>
            <w:proofErr w:type="spellStart"/>
            <w:r w:rsidRPr="00174CE1">
              <w:rPr>
                <w:rFonts w:cs="Times New Roman"/>
                <w:color w:val="000000"/>
                <w:sz w:val="20"/>
                <w:szCs w:val="20"/>
              </w:rPr>
              <w:t>Netzsch</w:t>
            </w:r>
            <w:proofErr w:type="spellEnd"/>
            <w:r w:rsidRPr="00174CE1">
              <w:rPr>
                <w:rFonts w:cs="Times New Roman"/>
                <w:color w:val="000000"/>
                <w:sz w:val="20"/>
                <w:szCs w:val="20"/>
              </w:rPr>
              <w:t xml:space="preserve"> produktu katal</w:t>
            </w:r>
            <w:r w:rsidR="001B6E91">
              <w:rPr>
                <w:rFonts w:cs="Times New Roman"/>
                <w:color w:val="000000"/>
                <w:sz w:val="20"/>
                <w:szCs w:val="20"/>
              </w:rPr>
              <w:t>oga nr. "NIB/007568" vai ekvivalents.</w:t>
            </w:r>
          </w:p>
        </w:tc>
        <w:tc>
          <w:tcPr>
            <w:tcW w:w="1139" w:type="dxa"/>
            <w:shd w:val="clear" w:color="auto" w:fill="auto"/>
            <w:noWrap/>
            <w:vAlign w:val="bottom"/>
            <w:hideMark/>
          </w:tcPr>
          <w:p w14:paraId="53C81CB0" w14:textId="77777777" w:rsidR="001A2D0A" w:rsidRPr="00174CE1" w:rsidRDefault="001A2D0A" w:rsidP="001A2D0A">
            <w:pPr>
              <w:jc w:val="center"/>
              <w:rPr>
                <w:rFonts w:cs="Times New Roman"/>
                <w:color w:val="000000"/>
                <w:sz w:val="20"/>
                <w:szCs w:val="20"/>
              </w:rPr>
            </w:pPr>
            <w:proofErr w:type="spellStart"/>
            <w:r w:rsidRPr="00174CE1">
              <w:rPr>
                <w:rFonts w:cs="Times New Roman"/>
                <w:color w:val="000000"/>
                <w:sz w:val="20"/>
                <w:szCs w:val="20"/>
              </w:rPr>
              <w:t>gab</w:t>
            </w:r>
            <w:proofErr w:type="spellEnd"/>
          </w:p>
        </w:tc>
        <w:tc>
          <w:tcPr>
            <w:tcW w:w="992" w:type="dxa"/>
            <w:shd w:val="clear" w:color="000000" w:fill="FFFFFF"/>
            <w:noWrap/>
            <w:vAlign w:val="bottom"/>
            <w:hideMark/>
          </w:tcPr>
          <w:p w14:paraId="3F016062"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w:t>
            </w:r>
          </w:p>
        </w:tc>
        <w:tc>
          <w:tcPr>
            <w:tcW w:w="4442" w:type="dxa"/>
            <w:shd w:val="clear" w:color="000000" w:fill="FFFFFF"/>
          </w:tcPr>
          <w:p w14:paraId="32DB5E47" w14:textId="77777777" w:rsidR="001A2D0A" w:rsidRPr="00A24D5E" w:rsidRDefault="001A2D0A" w:rsidP="001A2D0A">
            <w:pPr>
              <w:spacing w:after="0" w:line="240" w:lineRule="auto"/>
              <w:jc w:val="center"/>
              <w:rPr>
                <w:rFonts w:eastAsia="Times New Roman" w:cs="Times New Roman"/>
                <w:color w:val="000000"/>
                <w:sz w:val="22"/>
                <w:lang w:eastAsia="lv-LV"/>
              </w:rPr>
            </w:pPr>
          </w:p>
        </w:tc>
      </w:tr>
      <w:tr w:rsidR="001A2D0A" w:rsidRPr="00174CE1" w14:paraId="0A01BF6D" w14:textId="77777777" w:rsidTr="00FD02D7">
        <w:trPr>
          <w:trHeight w:val="900"/>
        </w:trPr>
        <w:tc>
          <w:tcPr>
            <w:tcW w:w="883" w:type="dxa"/>
            <w:shd w:val="clear" w:color="auto" w:fill="auto"/>
            <w:noWrap/>
          </w:tcPr>
          <w:p w14:paraId="724621E3" w14:textId="77777777" w:rsidR="001A2D0A" w:rsidRPr="00174CE1" w:rsidRDefault="001A2D0A" w:rsidP="001A2D0A">
            <w:pPr>
              <w:spacing w:after="0" w:line="240" w:lineRule="auto"/>
              <w:jc w:val="center"/>
              <w:rPr>
                <w:rFonts w:eastAsia="Times New Roman" w:cs="Times New Roman"/>
                <w:color w:val="000000"/>
                <w:sz w:val="20"/>
                <w:szCs w:val="20"/>
                <w:lang w:eastAsia="lv-LV"/>
              </w:rPr>
            </w:pPr>
            <w:r w:rsidRPr="00174CE1">
              <w:rPr>
                <w:rFonts w:eastAsia="Times New Roman" w:cs="Times New Roman"/>
                <w:color w:val="000000"/>
                <w:sz w:val="20"/>
                <w:szCs w:val="20"/>
                <w:lang w:eastAsia="lv-LV"/>
              </w:rPr>
              <w:lastRenderedPageBreak/>
              <w:t>13</w:t>
            </w:r>
          </w:p>
        </w:tc>
        <w:tc>
          <w:tcPr>
            <w:tcW w:w="2520" w:type="dxa"/>
            <w:shd w:val="clear" w:color="auto" w:fill="auto"/>
            <w:vAlign w:val="bottom"/>
          </w:tcPr>
          <w:p w14:paraId="18B2DC7E" w14:textId="77777777" w:rsidR="00DE3F63" w:rsidRPr="00174CE1" w:rsidRDefault="00DE3F63" w:rsidP="00DE3F63">
            <w:pPr>
              <w:spacing w:after="0" w:line="240" w:lineRule="auto"/>
              <w:jc w:val="both"/>
              <w:rPr>
                <w:rFonts w:cs="Times New Roman"/>
                <w:color w:val="000000"/>
                <w:sz w:val="20"/>
                <w:szCs w:val="20"/>
              </w:rPr>
            </w:pPr>
            <w:r w:rsidRPr="00DE3F63">
              <w:rPr>
                <w:rFonts w:cs="Times New Roman"/>
                <w:color w:val="000000"/>
                <w:sz w:val="20"/>
                <w:szCs w:val="20"/>
              </w:rPr>
              <w:t xml:space="preserve">Ātri žūstoša sudraba pasta paraugu sagatavošanai dielektriskās </w:t>
            </w:r>
            <w:proofErr w:type="spellStart"/>
            <w:r w:rsidRPr="00DE3F63">
              <w:rPr>
                <w:rFonts w:cs="Times New Roman"/>
                <w:color w:val="000000"/>
                <w:sz w:val="20"/>
                <w:szCs w:val="20"/>
              </w:rPr>
              <w:t>spektroskopijas</w:t>
            </w:r>
            <w:proofErr w:type="spellEnd"/>
            <w:r w:rsidRPr="00DE3F63">
              <w:rPr>
                <w:rFonts w:cs="Times New Roman"/>
                <w:color w:val="000000"/>
                <w:sz w:val="20"/>
                <w:szCs w:val="20"/>
              </w:rPr>
              <w:t xml:space="preserve"> mērījumiem (50g)</w:t>
            </w:r>
          </w:p>
          <w:p w14:paraId="0FE4810D" w14:textId="77777777" w:rsidR="001A2D0A" w:rsidRPr="00174CE1" w:rsidRDefault="001A2D0A" w:rsidP="001A2D0A">
            <w:pPr>
              <w:spacing w:after="0" w:line="240" w:lineRule="auto"/>
              <w:jc w:val="both"/>
              <w:rPr>
                <w:rFonts w:cs="Times New Roman"/>
                <w:color w:val="000000"/>
                <w:sz w:val="20"/>
                <w:szCs w:val="20"/>
              </w:rPr>
            </w:pPr>
          </w:p>
        </w:tc>
        <w:tc>
          <w:tcPr>
            <w:tcW w:w="4767" w:type="dxa"/>
            <w:shd w:val="clear" w:color="auto" w:fill="auto"/>
            <w:vAlign w:val="bottom"/>
          </w:tcPr>
          <w:p w14:paraId="3BFDF51C" w14:textId="3CB8F894" w:rsidR="00DE3F63" w:rsidRPr="00174CE1" w:rsidRDefault="00DE3F63" w:rsidP="00DE3F63">
            <w:pPr>
              <w:spacing w:after="0" w:line="240" w:lineRule="auto"/>
              <w:jc w:val="both"/>
              <w:rPr>
                <w:rFonts w:cs="Times New Roman"/>
                <w:color w:val="000000"/>
                <w:sz w:val="20"/>
                <w:szCs w:val="20"/>
              </w:rPr>
            </w:pPr>
            <w:r w:rsidRPr="00174CE1">
              <w:rPr>
                <w:rFonts w:cs="Times New Roman"/>
                <w:color w:val="000000"/>
                <w:sz w:val="20"/>
                <w:szCs w:val="20"/>
              </w:rPr>
              <w:t xml:space="preserve">Ātri žūstoša sudraba pasta paraugu sagatavošanai </w:t>
            </w:r>
            <w:proofErr w:type="spellStart"/>
            <w:r w:rsidRPr="00174CE1">
              <w:rPr>
                <w:rFonts w:cs="Times New Roman"/>
                <w:color w:val="000000"/>
                <w:sz w:val="20"/>
                <w:szCs w:val="20"/>
              </w:rPr>
              <w:t>dielektrsikās</w:t>
            </w:r>
            <w:proofErr w:type="spellEnd"/>
            <w:r w:rsidRPr="00174CE1">
              <w:rPr>
                <w:rFonts w:cs="Times New Roman"/>
                <w:color w:val="000000"/>
                <w:sz w:val="20"/>
                <w:szCs w:val="20"/>
              </w:rPr>
              <w:t xml:space="preserve"> </w:t>
            </w:r>
            <w:proofErr w:type="spellStart"/>
            <w:r w:rsidRPr="00174CE1">
              <w:rPr>
                <w:rFonts w:cs="Times New Roman"/>
                <w:color w:val="000000"/>
                <w:sz w:val="20"/>
                <w:szCs w:val="20"/>
              </w:rPr>
              <w:t>spektroskopijas</w:t>
            </w:r>
            <w:proofErr w:type="spellEnd"/>
            <w:r w:rsidRPr="00174CE1">
              <w:rPr>
                <w:rFonts w:cs="Times New Roman"/>
                <w:color w:val="000000"/>
                <w:sz w:val="20"/>
                <w:szCs w:val="20"/>
              </w:rPr>
              <w:t xml:space="preserve"> mērījumiem atbilstoši Agar </w:t>
            </w:r>
            <w:proofErr w:type="spellStart"/>
            <w:r w:rsidRPr="00174CE1">
              <w:rPr>
                <w:rFonts w:cs="Times New Roman"/>
                <w:color w:val="000000"/>
                <w:sz w:val="20"/>
                <w:szCs w:val="20"/>
              </w:rPr>
              <w:t>Scientific</w:t>
            </w:r>
            <w:proofErr w:type="spellEnd"/>
            <w:r w:rsidRPr="00174CE1">
              <w:rPr>
                <w:rFonts w:cs="Times New Roman"/>
                <w:color w:val="000000"/>
                <w:sz w:val="20"/>
                <w:szCs w:val="20"/>
              </w:rPr>
              <w:t xml:space="preserve"> katalog</w:t>
            </w:r>
            <w:r w:rsidR="00166794">
              <w:rPr>
                <w:rFonts w:cs="Times New Roman"/>
                <w:color w:val="000000"/>
                <w:sz w:val="20"/>
                <w:szCs w:val="20"/>
              </w:rPr>
              <w:t>a numuram AGG302 vai ekvivalents.</w:t>
            </w:r>
          </w:p>
          <w:p w14:paraId="07D3B729" w14:textId="77777777" w:rsidR="001A2D0A" w:rsidRPr="00174CE1" w:rsidRDefault="001A2D0A" w:rsidP="001A2D0A">
            <w:pPr>
              <w:jc w:val="both"/>
              <w:rPr>
                <w:rFonts w:cs="Times New Roman"/>
                <w:color w:val="000000"/>
                <w:sz w:val="20"/>
                <w:szCs w:val="20"/>
              </w:rPr>
            </w:pPr>
          </w:p>
        </w:tc>
        <w:tc>
          <w:tcPr>
            <w:tcW w:w="1139" w:type="dxa"/>
            <w:shd w:val="clear" w:color="auto" w:fill="auto"/>
            <w:noWrap/>
            <w:vAlign w:val="bottom"/>
          </w:tcPr>
          <w:p w14:paraId="60265D56" w14:textId="77777777" w:rsidR="001A2D0A" w:rsidRPr="00174CE1" w:rsidRDefault="001A2D0A" w:rsidP="001A2D0A">
            <w:pPr>
              <w:jc w:val="center"/>
              <w:rPr>
                <w:rFonts w:cs="Times New Roman"/>
                <w:color w:val="000000"/>
                <w:sz w:val="20"/>
                <w:szCs w:val="20"/>
              </w:rPr>
            </w:pPr>
            <w:r w:rsidRPr="00174CE1">
              <w:rPr>
                <w:rFonts w:cs="Times New Roman"/>
                <w:color w:val="000000"/>
                <w:sz w:val="20"/>
                <w:szCs w:val="20"/>
              </w:rPr>
              <w:t>iepak</w:t>
            </w:r>
            <w:r>
              <w:rPr>
                <w:rFonts w:cs="Times New Roman"/>
                <w:color w:val="000000"/>
                <w:sz w:val="20"/>
                <w:szCs w:val="20"/>
              </w:rPr>
              <w:t>ojums</w:t>
            </w:r>
          </w:p>
        </w:tc>
        <w:tc>
          <w:tcPr>
            <w:tcW w:w="992" w:type="dxa"/>
            <w:shd w:val="clear" w:color="000000" w:fill="FFFFFF"/>
            <w:noWrap/>
            <w:vAlign w:val="bottom"/>
          </w:tcPr>
          <w:p w14:paraId="3AD783FC" w14:textId="77777777" w:rsidR="001A2D0A" w:rsidRPr="001A2D0A" w:rsidRDefault="001A2D0A" w:rsidP="001A2D0A">
            <w:pPr>
              <w:jc w:val="center"/>
              <w:rPr>
                <w:rFonts w:cs="Times New Roman"/>
                <w:color w:val="000000"/>
                <w:sz w:val="20"/>
                <w:szCs w:val="20"/>
              </w:rPr>
            </w:pPr>
            <w:r w:rsidRPr="001A2D0A">
              <w:rPr>
                <w:rFonts w:cs="Times New Roman"/>
                <w:color w:val="000000"/>
                <w:sz w:val="20"/>
                <w:szCs w:val="20"/>
              </w:rPr>
              <w:t>1</w:t>
            </w:r>
          </w:p>
        </w:tc>
        <w:tc>
          <w:tcPr>
            <w:tcW w:w="4442" w:type="dxa"/>
            <w:shd w:val="clear" w:color="000000" w:fill="FFFFFF"/>
          </w:tcPr>
          <w:p w14:paraId="78EF28EB" w14:textId="77777777" w:rsidR="001A2D0A" w:rsidRPr="00174CE1" w:rsidRDefault="001A2D0A" w:rsidP="001A2D0A">
            <w:pPr>
              <w:spacing w:after="0" w:line="240" w:lineRule="auto"/>
              <w:jc w:val="both"/>
              <w:rPr>
                <w:rFonts w:eastAsia="Times New Roman" w:cs="Times New Roman"/>
                <w:color w:val="000000"/>
                <w:sz w:val="20"/>
                <w:szCs w:val="20"/>
                <w:lang w:eastAsia="lv-LV"/>
              </w:rPr>
            </w:pPr>
          </w:p>
        </w:tc>
      </w:tr>
    </w:tbl>
    <w:p w14:paraId="00197C69" w14:textId="77777777" w:rsidR="00FD02D7" w:rsidRDefault="00FD02D7" w:rsidP="007277A5">
      <w:pPr>
        <w:rPr>
          <w:rFonts w:cs="Times New Roman"/>
          <w:sz w:val="22"/>
        </w:rPr>
      </w:pPr>
    </w:p>
    <w:p w14:paraId="6CC68A61" w14:textId="77777777" w:rsidR="007277A5" w:rsidRPr="001A2D0A" w:rsidRDefault="007277A5" w:rsidP="007277A5">
      <w:pPr>
        <w:rPr>
          <w:rFonts w:cs="Times New Roman"/>
          <w:sz w:val="22"/>
        </w:rPr>
      </w:pPr>
      <w:r w:rsidRPr="001A2D0A">
        <w:rPr>
          <w:rFonts w:cs="Times New Roman"/>
          <w:sz w:val="22"/>
        </w:rPr>
        <w:t>___________________________________________________________________________</w:t>
      </w:r>
    </w:p>
    <w:p w14:paraId="17B79AF6" w14:textId="77777777" w:rsidR="007277A5" w:rsidRPr="001A2D0A" w:rsidRDefault="007277A5" w:rsidP="007277A5">
      <w:pPr>
        <w:rPr>
          <w:rFonts w:cs="Times New Roman"/>
          <w:sz w:val="22"/>
        </w:rPr>
      </w:pPr>
      <w:r w:rsidRPr="001A2D0A">
        <w:rPr>
          <w:rFonts w:cs="Times New Roman"/>
          <w:sz w:val="22"/>
        </w:rPr>
        <w:t>(pretendenta  nosaukums)</w:t>
      </w:r>
      <w:r w:rsidRPr="001A2D0A">
        <w:rPr>
          <w:rFonts w:cs="Times New Roman"/>
          <w:sz w:val="22"/>
        </w:rPr>
        <w:tab/>
        <w:t xml:space="preserve"> (amats) </w:t>
      </w:r>
      <w:r w:rsidRPr="001A2D0A">
        <w:rPr>
          <w:rFonts w:cs="Times New Roman"/>
          <w:sz w:val="22"/>
        </w:rPr>
        <w:tab/>
        <w:t>(paraksts)</w:t>
      </w:r>
      <w:r w:rsidRPr="001A2D0A">
        <w:rPr>
          <w:rFonts w:cs="Times New Roman"/>
          <w:sz w:val="22"/>
        </w:rPr>
        <w:tab/>
      </w:r>
      <w:r w:rsidRPr="001A2D0A">
        <w:rPr>
          <w:rFonts w:cs="Times New Roman"/>
          <w:sz w:val="22"/>
        </w:rPr>
        <w:tab/>
      </w:r>
      <w:r w:rsidRPr="001A2D0A">
        <w:rPr>
          <w:rFonts w:cs="Times New Roman"/>
          <w:color w:val="000000"/>
          <w:sz w:val="22"/>
        </w:rPr>
        <w:t>(vārds, uzvārds)</w:t>
      </w:r>
      <w:r w:rsidRPr="001A2D0A">
        <w:rPr>
          <w:rFonts w:cs="Times New Roman"/>
          <w:color w:val="000000"/>
          <w:sz w:val="22"/>
        </w:rPr>
        <w:tab/>
      </w:r>
    </w:p>
    <w:p w14:paraId="79C089E2" w14:textId="77777777" w:rsidR="00FE42C3" w:rsidRPr="001A2D0A" w:rsidRDefault="00FE42C3" w:rsidP="009B7173">
      <w:pPr>
        <w:spacing w:after="0" w:line="240" w:lineRule="auto"/>
        <w:rPr>
          <w:sz w:val="22"/>
        </w:rPr>
      </w:pPr>
    </w:p>
    <w:sectPr w:rsidR="00FE42C3" w:rsidRPr="001A2D0A" w:rsidSect="009B717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3D"/>
    <w:rsid w:val="0015290A"/>
    <w:rsid w:val="00166794"/>
    <w:rsid w:val="00174CE1"/>
    <w:rsid w:val="001A2D0A"/>
    <w:rsid w:val="001A2D5C"/>
    <w:rsid w:val="001B6E91"/>
    <w:rsid w:val="00224E56"/>
    <w:rsid w:val="002A7E9A"/>
    <w:rsid w:val="004F7D1B"/>
    <w:rsid w:val="00555738"/>
    <w:rsid w:val="005E5F71"/>
    <w:rsid w:val="00631137"/>
    <w:rsid w:val="00677849"/>
    <w:rsid w:val="0072281B"/>
    <w:rsid w:val="007277A5"/>
    <w:rsid w:val="007448A4"/>
    <w:rsid w:val="007B1DE0"/>
    <w:rsid w:val="007C0556"/>
    <w:rsid w:val="007C4B06"/>
    <w:rsid w:val="0083735A"/>
    <w:rsid w:val="0093574D"/>
    <w:rsid w:val="009B7173"/>
    <w:rsid w:val="00A146C7"/>
    <w:rsid w:val="00A56004"/>
    <w:rsid w:val="00B464D6"/>
    <w:rsid w:val="00C6047E"/>
    <w:rsid w:val="00CC6B7F"/>
    <w:rsid w:val="00CE5647"/>
    <w:rsid w:val="00D0333D"/>
    <w:rsid w:val="00D3414E"/>
    <w:rsid w:val="00DC5C07"/>
    <w:rsid w:val="00DE3F63"/>
    <w:rsid w:val="00F14313"/>
    <w:rsid w:val="00F2522E"/>
    <w:rsid w:val="00FD02D7"/>
    <w:rsid w:val="00FE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FBC5"/>
  <w15:docId w15:val="{E799D962-43DB-492B-9D16-6C8DF19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3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3735A"/>
    <w:pPr>
      <w:spacing w:after="0" w:line="360" w:lineRule="auto"/>
      <w:ind w:left="720" w:hanging="357"/>
      <w:contextualSpacing/>
      <w:jc w:val="both"/>
    </w:pPr>
    <w:rPr>
      <w:rFonts w:eastAsia="MS Mincho" w:cs="Times New Roman"/>
      <w:lang w:val="x-none"/>
    </w:rPr>
  </w:style>
  <w:style w:type="character" w:customStyle="1" w:styleId="ListParagraphChar">
    <w:name w:val="List Paragraph Char"/>
    <w:link w:val="ListParagraph"/>
    <w:uiPriority w:val="99"/>
    <w:locked/>
    <w:rsid w:val="0083735A"/>
    <w:rPr>
      <w:rFonts w:ascii="Times New Roman" w:eastAsia="MS Mincho" w:hAnsi="Times New Roman" w:cs="Times New Roman"/>
      <w:sz w:val="24"/>
      <w:lang w:val="x-none"/>
    </w:rPr>
  </w:style>
  <w:style w:type="character" w:styleId="CommentReference">
    <w:name w:val="annotation reference"/>
    <w:basedOn w:val="DefaultParagraphFont"/>
    <w:uiPriority w:val="99"/>
    <w:semiHidden/>
    <w:unhideWhenUsed/>
    <w:rsid w:val="005E5F71"/>
    <w:rPr>
      <w:sz w:val="16"/>
      <w:szCs w:val="16"/>
    </w:rPr>
  </w:style>
  <w:style w:type="paragraph" w:styleId="CommentText">
    <w:name w:val="annotation text"/>
    <w:basedOn w:val="Normal"/>
    <w:link w:val="CommentTextChar"/>
    <w:uiPriority w:val="99"/>
    <w:semiHidden/>
    <w:unhideWhenUsed/>
    <w:rsid w:val="005E5F71"/>
    <w:pPr>
      <w:spacing w:line="240" w:lineRule="auto"/>
    </w:pPr>
    <w:rPr>
      <w:sz w:val="20"/>
      <w:szCs w:val="20"/>
    </w:rPr>
  </w:style>
  <w:style w:type="character" w:customStyle="1" w:styleId="CommentTextChar">
    <w:name w:val="Comment Text Char"/>
    <w:basedOn w:val="DefaultParagraphFont"/>
    <w:link w:val="CommentText"/>
    <w:uiPriority w:val="99"/>
    <w:semiHidden/>
    <w:rsid w:val="005E5F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5F71"/>
    <w:rPr>
      <w:b/>
      <w:bCs/>
    </w:rPr>
  </w:style>
  <w:style w:type="character" w:customStyle="1" w:styleId="CommentSubjectChar">
    <w:name w:val="Comment Subject Char"/>
    <w:basedOn w:val="CommentTextChar"/>
    <w:link w:val="CommentSubject"/>
    <w:uiPriority w:val="99"/>
    <w:semiHidden/>
    <w:rsid w:val="005E5F71"/>
    <w:rPr>
      <w:rFonts w:ascii="Times New Roman" w:hAnsi="Times New Roman"/>
      <w:b/>
      <w:bCs/>
      <w:sz w:val="20"/>
      <w:szCs w:val="20"/>
    </w:rPr>
  </w:style>
  <w:style w:type="paragraph" w:styleId="BalloonText">
    <w:name w:val="Balloon Text"/>
    <w:basedOn w:val="Normal"/>
    <w:link w:val="BalloonTextChar"/>
    <w:uiPriority w:val="99"/>
    <w:semiHidden/>
    <w:unhideWhenUsed/>
    <w:rsid w:val="005E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44506">
      <w:bodyDiv w:val="1"/>
      <w:marLeft w:val="0"/>
      <w:marRight w:val="0"/>
      <w:marTop w:val="0"/>
      <w:marBottom w:val="0"/>
      <w:divBdr>
        <w:top w:val="none" w:sz="0" w:space="0" w:color="auto"/>
        <w:left w:val="none" w:sz="0" w:space="0" w:color="auto"/>
        <w:bottom w:val="none" w:sz="0" w:space="0" w:color="auto"/>
        <w:right w:val="none" w:sz="0" w:space="0" w:color="auto"/>
      </w:divBdr>
    </w:div>
    <w:div w:id="1440296490">
      <w:bodyDiv w:val="1"/>
      <w:marLeft w:val="0"/>
      <w:marRight w:val="0"/>
      <w:marTop w:val="0"/>
      <w:marBottom w:val="0"/>
      <w:divBdr>
        <w:top w:val="none" w:sz="0" w:space="0" w:color="auto"/>
        <w:left w:val="none" w:sz="0" w:space="0" w:color="auto"/>
        <w:bottom w:val="none" w:sz="0" w:space="0" w:color="auto"/>
        <w:right w:val="none" w:sz="0" w:space="0" w:color="auto"/>
      </w:divBdr>
    </w:div>
    <w:div w:id="19706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3568</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Čakša-Lapsiņa</dc:creator>
  <cp:lastModifiedBy>Artis Celitāns</cp:lastModifiedBy>
  <cp:revision>19</cp:revision>
  <cp:lastPrinted>2014-12-10T09:08:00Z</cp:lastPrinted>
  <dcterms:created xsi:type="dcterms:W3CDTF">2014-12-04T07:45:00Z</dcterms:created>
  <dcterms:modified xsi:type="dcterms:W3CDTF">2015-01-06T07:36:00Z</dcterms:modified>
</cp:coreProperties>
</file>