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B2D" w:rsidRDefault="00853427" w:rsidP="00853427">
      <w:pPr>
        <w:jc w:val="both"/>
        <w:rPr>
          <w:rFonts w:eastAsia="Times New Roman"/>
        </w:rPr>
      </w:pPr>
      <w:r>
        <w:rPr>
          <w:rFonts w:eastAsia="Times New Roman"/>
        </w:rPr>
        <w:t xml:space="preserve">         </w:t>
      </w:r>
    </w:p>
    <w:p w:rsidR="00D77B2D" w:rsidRDefault="00D77B2D" w:rsidP="00D77B2D">
      <w:pPr>
        <w:ind w:right="-170"/>
        <w:jc w:val="both"/>
        <w:rPr>
          <w:rFonts w:eastAsia="Times New Roman"/>
          <w:b/>
        </w:rPr>
      </w:pPr>
      <w:r w:rsidRPr="00986812">
        <w:rPr>
          <w:rFonts w:eastAsia="Times New Roman"/>
          <w:b/>
        </w:rPr>
        <w:t xml:space="preserve">Atklāta konkursa </w:t>
      </w:r>
      <w:r w:rsidRPr="00986812">
        <w:rPr>
          <w:rFonts w:eastAsia="Times New Roman"/>
          <w:b/>
        </w:rPr>
        <w:t xml:space="preserve">„Optisko šķiedru sakaru līniju noma, Rīgas Tehniskās universitātes filiāļu </w:t>
      </w:r>
      <w:proofErr w:type="spellStart"/>
      <w:r w:rsidRPr="00986812">
        <w:rPr>
          <w:rFonts w:eastAsia="Times New Roman"/>
          <w:b/>
        </w:rPr>
        <w:t>pieslēgumu</w:t>
      </w:r>
      <w:proofErr w:type="spellEnd"/>
      <w:r w:rsidRPr="00986812">
        <w:rPr>
          <w:rFonts w:eastAsia="Times New Roman"/>
          <w:b/>
        </w:rPr>
        <w:t>, Interneta pakalpojumu un autonomu sistēmu uzturēšanas pakalpojumu sniegšana”</w:t>
      </w:r>
      <w:r w:rsidRPr="00986812">
        <w:rPr>
          <w:rFonts w:eastAsia="Times New Roman"/>
          <w:b/>
        </w:rPr>
        <w:t xml:space="preserve"> (RTU-2017/28) iepirkuma komisija sniedz atbildes uz Pretendenta </w:t>
      </w:r>
      <w:r w:rsidRPr="00986812">
        <w:rPr>
          <w:rFonts w:eastAsia="Times New Roman"/>
          <w:b/>
        </w:rPr>
        <w:t>2017. gada 06.</w:t>
      </w:r>
      <w:r w:rsidR="00311BC8">
        <w:rPr>
          <w:rFonts w:eastAsia="Times New Roman"/>
          <w:b/>
        </w:rPr>
        <w:t xml:space="preserve"> </w:t>
      </w:r>
      <w:r w:rsidRPr="00986812">
        <w:rPr>
          <w:rFonts w:eastAsia="Times New Roman"/>
          <w:b/>
        </w:rPr>
        <w:t>jūlija vēstulē Nr. 20170706/21</w:t>
      </w:r>
      <w:r w:rsidRPr="00986812">
        <w:rPr>
          <w:rFonts w:eastAsia="Times New Roman"/>
          <w:b/>
        </w:rPr>
        <w:t xml:space="preserve"> uzdotajiem jautājumiem. </w:t>
      </w:r>
    </w:p>
    <w:p w:rsidR="00E14373" w:rsidRDefault="00E14373" w:rsidP="00D77B2D">
      <w:pPr>
        <w:ind w:right="-170"/>
        <w:jc w:val="both"/>
        <w:rPr>
          <w:rFonts w:eastAsia="Times New Roman"/>
          <w:b/>
        </w:rPr>
      </w:pPr>
    </w:p>
    <w:p w:rsidR="00E14373" w:rsidRPr="00E14373" w:rsidRDefault="00E14373" w:rsidP="00D77B2D">
      <w:pPr>
        <w:ind w:right="-170"/>
        <w:jc w:val="both"/>
        <w:rPr>
          <w:rFonts w:eastAsia="Times New Roman"/>
          <w:b/>
          <w:u w:val="single"/>
        </w:rPr>
      </w:pPr>
      <w:r w:rsidRPr="00E14373">
        <w:rPr>
          <w:rFonts w:eastAsia="Times New Roman"/>
          <w:b/>
          <w:u w:val="single"/>
        </w:rPr>
        <w:t xml:space="preserve">1.jautājums. </w:t>
      </w:r>
    </w:p>
    <w:p w:rsidR="00E14373" w:rsidRDefault="00E14373" w:rsidP="00D77B2D">
      <w:pPr>
        <w:ind w:right="-170"/>
        <w:jc w:val="both"/>
        <w:rPr>
          <w:rFonts w:eastAsia="Times New Roman"/>
          <w:b/>
        </w:rPr>
      </w:pPr>
    </w:p>
    <w:p w:rsidR="00E14373" w:rsidRDefault="00E14373" w:rsidP="00D77B2D">
      <w:pPr>
        <w:ind w:right="-170"/>
        <w:jc w:val="both"/>
        <w:rPr>
          <w:rFonts w:eastAsia="Times New Roman"/>
          <w:b/>
        </w:rPr>
      </w:pPr>
      <w:r w:rsidRPr="00E14373">
        <w:rPr>
          <w:rFonts w:eastAsia="Times New Roman"/>
          <w:b/>
          <w:noProof/>
        </w:rPr>
        <w:drawing>
          <wp:inline distT="0" distB="0" distL="0" distR="0">
            <wp:extent cx="6188710" cy="3342367"/>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88710" cy="3342367"/>
                    </a:xfrm>
                    <a:prstGeom prst="rect">
                      <a:avLst/>
                    </a:prstGeom>
                    <a:noFill/>
                    <a:ln>
                      <a:noFill/>
                    </a:ln>
                  </pic:spPr>
                </pic:pic>
              </a:graphicData>
            </a:graphic>
          </wp:inline>
        </w:drawing>
      </w:r>
    </w:p>
    <w:p w:rsidR="00E14373" w:rsidRDefault="00E14373" w:rsidP="00D77B2D">
      <w:pPr>
        <w:ind w:right="-170"/>
        <w:jc w:val="both"/>
        <w:rPr>
          <w:b/>
          <w:bCs/>
          <w:u w:val="single"/>
        </w:rPr>
      </w:pPr>
      <w:r w:rsidRPr="00E14373">
        <w:rPr>
          <w:b/>
          <w:bCs/>
          <w:u w:val="single"/>
        </w:rPr>
        <w:t xml:space="preserve">1.atbilde. </w:t>
      </w:r>
    </w:p>
    <w:p w:rsidR="00E14373" w:rsidRDefault="00E14373" w:rsidP="00D77B2D">
      <w:pPr>
        <w:ind w:right="-170"/>
        <w:jc w:val="both"/>
        <w:rPr>
          <w:b/>
          <w:bCs/>
          <w:u w:val="single"/>
        </w:rPr>
      </w:pPr>
    </w:p>
    <w:p w:rsidR="00E14373" w:rsidRPr="00311BC8" w:rsidRDefault="00E14373" w:rsidP="00E14373">
      <w:pPr>
        <w:pStyle w:val="ListParagraph"/>
        <w:numPr>
          <w:ilvl w:val="0"/>
          <w:numId w:val="2"/>
        </w:numPr>
        <w:ind w:right="107"/>
        <w:jc w:val="both"/>
        <w:rPr>
          <w:bCs/>
        </w:rPr>
      </w:pPr>
      <w:r w:rsidRPr="00311BC8">
        <w:rPr>
          <w:bCs/>
        </w:rPr>
        <w:t xml:space="preserve">Iepirkuma komisija norāda, ka saskaņā ar 2017.gada 10.jūnijā Iepirkumu uzraudzības biroja tīmekļa vietnē publicēto </w:t>
      </w:r>
      <w:r w:rsidRPr="00311BC8">
        <w:rPr>
          <w:bCs/>
          <w:i/>
        </w:rPr>
        <w:t>Paziņojumu par līgumu</w:t>
      </w:r>
      <w:r w:rsidRPr="00311BC8">
        <w:rPr>
          <w:bCs/>
        </w:rPr>
        <w:t xml:space="preserve"> – iepirkuma daļu sadalījums ir šāds: </w:t>
      </w:r>
    </w:p>
    <w:p w:rsidR="00B20B95" w:rsidRPr="00311BC8" w:rsidRDefault="00B20B95" w:rsidP="00B20B95">
      <w:pPr>
        <w:pStyle w:val="ListParagraph"/>
        <w:jc w:val="both"/>
      </w:pPr>
      <w:r w:rsidRPr="00311BC8">
        <w:rPr>
          <w:u w:val="single"/>
        </w:rPr>
        <w:t>1.iepirkuma daļa</w:t>
      </w:r>
      <w:r w:rsidRPr="00311BC8">
        <w:t xml:space="preserve"> - „RTU pamattīkla optisko šķiedru sakaru līniju noma”</w:t>
      </w:r>
      <w:r w:rsidRPr="00311BC8">
        <w:t>;</w:t>
      </w:r>
      <w:r w:rsidRPr="00311BC8">
        <w:t xml:space="preserve"> </w:t>
      </w:r>
    </w:p>
    <w:p w:rsidR="00B20B95" w:rsidRPr="00311BC8" w:rsidRDefault="00B20B95" w:rsidP="00B20B95">
      <w:pPr>
        <w:pStyle w:val="ListParagraph"/>
        <w:jc w:val="both"/>
      </w:pPr>
      <w:r w:rsidRPr="00311BC8">
        <w:rPr>
          <w:u w:val="single"/>
        </w:rPr>
        <w:t>2.iepirkuma daļa</w:t>
      </w:r>
      <w:r w:rsidRPr="00311BC8">
        <w:t xml:space="preserve"> - „</w:t>
      </w:r>
      <w:proofErr w:type="spellStart"/>
      <w:r w:rsidR="00565FFC" w:rsidRPr="00311BC8">
        <w:t>Vienmodu</w:t>
      </w:r>
      <w:proofErr w:type="spellEnd"/>
      <w:r w:rsidR="00565FFC" w:rsidRPr="00311BC8">
        <w:t xml:space="preserve"> </w:t>
      </w:r>
      <w:r w:rsidRPr="00311BC8">
        <w:t xml:space="preserve"> optisko</w:t>
      </w:r>
      <w:r w:rsidRPr="00311BC8">
        <w:t xml:space="preserve"> šķiedru noma</w:t>
      </w:r>
      <w:r w:rsidR="00565FFC" w:rsidRPr="00311BC8">
        <w:t xml:space="preserve"> RTU fakultātēm</w:t>
      </w:r>
      <w:r w:rsidRPr="00311BC8">
        <w:t>”;</w:t>
      </w:r>
    </w:p>
    <w:p w:rsidR="00B20B95" w:rsidRPr="00311BC8" w:rsidRDefault="00B20B95" w:rsidP="00B20B95">
      <w:pPr>
        <w:pStyle w:val="ListParagraph"/>
        <w:jc w:val="both"/>
      </w:pPr>
      <w:r w:rsidRPr="00311BC8">
        <w:rPr>
          <w:u w:val="single"/>
        </w:rPr>
        <w:t>3.iepirkuma daļa</w:t>
      </w:r>
      <w:r w:rsidRPr="00311BC8">
        <w:t xml:space="preserve"> - „</w:t>
      </w:r>
      <w:r w:rsidR="00565FFC" w:rsidRPr="00311BC8">
        <w:t xml:space="preserve">Starptautiskā un Latvijas (LIX) Internet rezerves </w:t>
      </w:r>
      <w:proofErr w:type="spellStart"/>
      <w:r w:rsidR="00565FFC" w:rsidRPr="00311BC8">
        <w:t>pieslēguma</w:t>
      </w:r>
      <w:proofErr w:type="spellEnd"/>
      <w:r w:rsidR="00565FFC" w:rsidRPr="00311BC8">
        <w:t xml:space="preserve"> nodrošināšana, IP adrešu diapazona uzturēšana un DNS pakalpojumu nodrošināšana</w:t>
      </w:r>
      <w:r w:rsidRPr="00311BC8">
        <w:t>”;</w:t>
      </w:r>
      <w:r w:rsidRPr="00311BC8">
        <w:t xml:space="preserve"> </w:t>
      </w:r>
    </w:p>
    <w:p w:rsidR="00B20B95" w:rsidRPr="00311BC8" w:rsidRDefault="00B20B95" w:rsidP="00B20B95">
      <w:pPr>
        <w:pStyle w:val="ListParagraph"/>
        <w:jc w:val="both"/>
      </w:pPr>
      <w:r w:rsidRPr="00311BC8">
        <w:rPr>
          <w:u w:val="single"/>
        </w:rPr>
        <w:t>4.iepirkuma daļa</w:t>
      </w:r>
      <w:r w:rsidRPr="00311BC8">
        <w:t xml:space="preserve"> - „ SMILE</w:t>
      </w:r>
      <w:r w:rsidR="00311BC8">
        <w:t xml:space="preserve"> i</w:t>
      </w:r>
      <w:r w:rsidR="00565FFC" w:rsidRPr="00311BC8">
        <w:t>nterneta</w:t>
      </w:r>
      <w:r w:rsidRPr="00311BC8">
        <w:t xml:space="preserve"> apmaiņas punkta </w:t>
      </w:r>
      <w:proofErr w:type="spellStart"/>
      <w:r w:rsidR="00565FFC" w:rsidRPr="00311BC8">
        <w:t>pieslēgums</w:t>
      </w:r>
      <w:proofErr w:type="spellEnd"/>
      <w:r w:rsidR="00565FFC" w:rsidRPr="00311BC8">
        <w:t xml:space="preserve"> ar ātrumu līdz 1 Gbit/s</w:t>
      </w:r>
      <w:r w:rsidRPr="00311BC8">
        <w:t>”</w:t>
      </w:r>
      <w:r w:rsidRPr="00311BC8">
        <w:t>;</w:t>
      </w:r>
    </w:p>
    <w:p w:rsidR="00E14373" w:rsidRPr="00311BC8" w:rsidRDefault="00B20B95" w:rsidP="00B20B95">
      <w:pPr>
        <w:pStyle w:val="ListParagraph"/>
        <w:jc w:val="both"/>
      </w:pPr>
      <w:r w:rsidRPr="00311BC8">
        <w:rPr>
          <w:u w:val="single"/>
        </w:rPr>
        <w:t>5.iepirkuma daļa</w:t>
      </w:r>
      <w:r w:rsidRPr="00311BC8">
        <w:t xml:space="preserve"> - „</w:t>
      </w:r>
      <w:r w:rsidR="00565FFC" w:rsidRPr="00311BC8">
        <w:t xml:space="preserve">RTU Ventspils, Daugavpils un </w:t>
      </w:r>
      <w:proofErr w:type="spellStart"/>
      <w:r w:rsidR="00565FFC" w:rsidRPr="00311BC8">
        <w:t>Cēsu</w:t>
      </w:r>
      <w:proofErr w:type="spellEnd"/>
      <w:r w:rsidR="00565FFC" w:rsidRPr="00311BC8">
        <w:t xml:space="preserve"> filiāļu datu pārraides kanālu noma</w:t>
      </w:r>
      <w:r w:rsidRPr="00311BC8">
        <w:t>”</w:t>
      </w:r>
      <w:r w:rsidRPr="00311BC8">
        <w:t>.</w:t>
      </w:r>
    </w:p>
    <w:p w:rsidR="00085774" w:rsidRPr="00311BC8" w:rsidRDefault="00565FFC" w:rsidP="00565FFC">
      <w:pPr>
        <w:jc w:val="both"/>
      </w:pPr>
      <w:r w:rsidRPr="00311BC8">
        <w:t>Šis sadalījums atbilst arī Tehniskajās specifikācijās uzskaitītajam sadalījumam un uz to ir attiecināma</w:t>
      </w:r>
      <w:r w:rsidR="00085774" w:rsidRPr="00311BC8">
        <w:t>s</w:t>
      </w:r>
      <w:r w:rsidRPr="00311BC8">
        <w:t xml:space="preserve"> </w:t>
      </w:r>
      <w:r w:rsidR="00085774" w:rsidRPr="00311BC8">
        <w:t xml:space="preserve">4.1.4. un 4.1.5. punktā norādītās prasības.  </w:t>
      </w:r>
    </w:p>
    <w:p w:rsidR="00565FFC" w:rsidRDefault="00085774" w:rsidP="00565FFC">
      <w:pPr>
        <w:jc w:val="both"/>
      </w:pPr>
      <w:r w:rsidRPr="00311BC8">
        <w:tab/>
        <w:t xml:space="preserve">Vienlaicīgi norādām, ka iepirkuma komisija ir tehniski precizējusi daļu uzskatījumu nolikuma 1.7.1. punktā, lai tas atbilstu visā nolikumā un tehniskajās specifikācijās esošajam uzskaitījumam. </w:t>
      </w:r>
      <w:r w:rsidR="00311BC8">
        <w:t>Tāpat informējam, ka saskaņā ar Publisko iepirkumu likuma 49.pantu un Nolikuma 4.8.punktu</w:t>
      </w:r>
      <w:r w:rsidR="0019249F">
        <w:t>,</w:t>
      </w:r>
      <w:bookmarkStart w:id="0" w:name="_GoBack"/>
      <w:bookmarkEnd w:id="0"/>
      <w:r w:rsidR="00311BC8">
        <w:t xml:space="preserve"> Pasūtītājs kā sākotnējo apliecinājumu atbilstībai pieņems Eiropas vienoto iepirkuma procedūras dokumentu. </w:t>
      </w:r>
      <w:r w:rsidRPr="00311BC8">
        <w:t xml:space="preserve">  </w:t>
      </w:r>
      <w:r w:rsidR="00565FFC" w:rsidRPr="00311BC8">
        <w:t xml:space="preserve"> </w:t>
      </w:r>
    </w:p>
    <w:p w:rsidR="00311BC8" w:rsidRDefault="00311BC8" w:rsidP="00565FFC">
      <w:pPr>
        <w:jc w:val="both"/>
      </w:pPr>
    </w:p>
    <w:p w:rsidR="00311BC8" w:rsidRDefault="00311BC8" w:rsidP="00565FFC">
      <w:pPr>
        <w:jc w:val="both"/>
      </w:pPr>
    </w:p>
    <w:p w:rsidR="00311BC8" w:rsidRDefault="00311BC8" w:rsidP="00565FFC">
      <w:pPr>
        <w:jc w:val="both"/>
      </w:pPr>
    </w:p>
    <w:p w:rsidR="00311BC8" w:rsidRDefault="00311BC8" w:rsidP="00565FFC">
      <w:pPr>
        <w:jc w:val="both"/>
      </w:pPr>
    </w:p>
    <w:p w:rsidR="00311BC8" w:rsidRPr="00311BC8" w:rsidRDefault="00311BC8" w:rsidP="00565FFC">
      <w:pPr>
        <w:jc w:val="both"/>
      </w:pPr>
    </w:p>
    <w:p w:rsidR="00D77B2D" w:rsidRDefault="00D77B2D" w:rsidP="00D77B2D">
      <w:pPr>
        <w:jc w:val="both"/>
        <w:rPr>
          <w:rFonts w:eastAsia="Times New Roman"/>
        </w:rPr>
      </w:pPr>
    </w:p>
    <w:p w:rsidR="00D77B2D" w:rsidRPr="00D77B2D" w:rsidRDefault="00D77B2D" w:rsidP="00853427">
      <w:pPr>
        <w:jc w:val="both"/>
        <w:rPr>
          <w:rFonts w:eastAsia="Times New Roman"/>
          <w:b/>
          <w:u w:val="single"/>
        </w:rPr>
      </w:pPr>
      <w:r w:rsidRPr="00D77B2D">
        <w:rPr>
          <w:rFonts w:eastAsia="Times New Roman"/>
          <w:b/>
          <w:u w:val="single"/>
        </w:rPr>
        <w:t xml:space="preserve">2.jautājums. </w:t>
      </w:r>
    </w:p>
    <w:p w:rsidR="00D77B2D" w:rsidRDefault="00D77B2D" w:rsidP="00853427">
      <w:pPr>
        <w:jc w:val="both"/>
        <w:rPr>
          <w:rFonts w:eastAsia="Times New Roman"/>
        </w:rPr>
      </w:pPr>
      <w:r w:rsidRPr="00D77B2D">
        <w:rPr>
          <w:rFonts w:eastAsia="Times New Roman"/>
          <w:noProof/>
        </w:rPr>
        <w:drawing>
          <wp:inline distT="0" distB="0" distL="0" distR="0">
            <wp:extent cx="6188710" cy="1096555"/>
            <wp:effectExtent l="0" t="0" r="254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88710" cy="1096555"/>
                    </a:xfrm>
                    <a:prstGeom prst="rect">
                      <a:avLst/>
                    </a:prstGeom>
                    <a:noFill/>
                    <a:ln>
                      <a:noFill/>
                    </a:ln>
                  </pic:spPr>
                </pic:pic>
              </a:graphicData>
            </a:graphic>
          </wp:inline>
        </w:drawing>
      </w:r>
    </w:p>
    <w:p w:rsidR="00D77B2D" w:rsidRDefault="00D77B2D" w:rsidP="00853427">
      <w:pPr>
        <w:jc w:val="both"/>
        <w:rPr>
          <w:rFonts w:eastAsia="Times New Roman"/>
        </w:rPr>
      </w:pPr>
    </w:p>
    <w:p w:rsidR="00D77B2D" w:rsidRDefault="00D77B2D" w:rsidP="00853427">
      <w:pPr>
        <w:jc w:val="both"/>
        <w:rPr>
          <w:rFonts w:eastAsia="Times New Roman"/>
        </w:rPr>
      </w:pPr>
      <w:r w:rsidRPr="00D77B2D">
        <w:rPr>
          <w:rFonts w:eastAsia="Times New Roman"/>
          <w:noProof/>
        </w:rPr>
        <w:drawing>
          <wp:inline distT="0" distB="0" distL="0" distR="0">
            <wp:extent cx="6188710" cy="5866141"/>
            <wp:effectExtent l="0" t="0" r="254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88710" cy="5866141"/>
                    </a:xfrm>
                    <a:prstGeom prst="rect">
                      <a:avLst/>
                    </a:prstGeom>
                    <a:noFill/>
                    <a:ln>
                      <a:noFill/>
                    </a:ln>
                  </pic:spPr>
                </pic:pic>
              </a:graphicData>
            </a:graphic>
          </wp:inline>
        </w:drawing>
      </w:r>
    </w:p>
    <w:p w:rsidR="00D77B2D" w:rsidRDefault="00D77B2D" w:rsidP="00853427">
      <w:pPr>
        <w:jc w:val="both"/>
        <w:rPr>
          <w:rFonts w:eastAsia="Times New Roman"/>
        </w:rPr>
      </w:pPr>
    </w:p>
    <w:p w:rsidR="00D77B2D" w:rsidRPr="00986812" w:rsidRDefault="00986812" w:rsidP="00853427">
      <w:pPr>
        <w:jc w:val="both"/>
        <w:rPr>
          <w:rFonts w:eastAsia="Times New Roman"/>
          <w:b/>
          <w:u w:val="single"/>
        </w:rPr>
      </w:pPr>
      <w:r w:rsidRPr="00986812">
        <w:rPr>
          <w:rFonts w:eastAsia="Times New Roman"/>
          <w:b/>
          <w:u w:val="single"/>
        </w:rPr>
        <w:t xml:space="preserve">2.atbilde. </w:t>
      </w:r>
    </w:p>
    <w:p w:rsidR="00853427" w:rsidRPr="00986812" w:rsidRDefault="00853427" w:rsidP="00986812">
      <w:pPr>
        <w:pStyle w:val="ListParagraph"/>
        <w:numPr>
          <w:ilvl w:val="0"/>
          <w:numId w:val="1"/>
        </w:numPr>
        <w:jc w:val="both"/>
        <w:rPr>
          <w:rFonts w:eastAsia="Times New Roman"/>
        </w:rPr>
      </w:pPr>
      <w:r w:rsidRPr="00986812">
        <w:rPr>
          <w:rFonts w:eastAsia="Times New Roman"/>
        </w:rPr>
        <w:t xml:space="preserve">Pasūtītājam nepieciešamā pakalpojuma </w:t>
      </w:r>
      <w:r w:rsidR="00D77B2D" w:rsidRPr="00986812">
        <w:rPr>
          <w:rFonts w:eastAsia="Times New Roman"/>
        </w:rPr>
        <w:t>specifikācija ir noteikta</w:t>
      </w:r>
      <w:r w:rsidRPr="00986812">
        <w:rPr>
          <w:rFonts w:eastAsia="Times New Roman"/>
        </w:rPr>
        <w:t xml:space="preserve"> atbilstoši </w:t>
      </w:r>
      <w:r w:rsidR="00986812">
        <w:rPr>
          <w:rFonts w:eastAsia="Times New Roman"/>
        </w:rPr>
        <w:t xml:space="preserve">Pasūtītāja </w:t>
      </w:r>
      <w:r w:rsidRPr="00986812">
        <w:rPr>
          <w:rFonts w:eastAsia="Times New Roman"/>
        </w:rPr>
        <w:t>vajadzībām.</w:t>
      </w:r>
    </w:p>
    <w:p w:rsidR="00853427" w:rsidRDefault="00853427" w:rsidP="00853427">
      <w:pPr>
        <w:pStyle w:val="ListParagraph"/>
        <w:numPr>
          <w:ilvl w:val="0"/>
          <w:numId w:val="1"/>
        </w:numPr>
        <w:jc w:val="both"/>
        <w:rPr>
          <w:rFonts w:eastAsia="Times New Roman"/>
        </w:rPr>
      </w:pPr>
      <w:r w:rsidRPr="00853427">
        <w:rPr>
          <w:rFonts w:eastAsia="Times New Roman"/>
        </w:rPr>
        <w:t xml:space="preserve">Pasūtītājs ir vienisprātis ar Pretendentu, ka TIER 1 operatora definīcija dažādos avotos atšķiras. Lai atvieglotu Pretendentiem piedāvājumu sagatavošanu un izslēgtu vērtēšanas procesā iespējamos strīdus par viena vai otra starptautiskā Internet tranzīta operatora atbilstību TIER 1 statusam, Pasūtītājs ir veicis atsauci uz konkrētu avotu – ikgadēju pētījumu, kas apkopo rezultātus  pa mēnešiem, un pētījuma metodoloģija ir Pasūtītājam pieņemama, jo nebalstās uz pieņēmumiem, piemēram, par to, vai viens vai otrs operators pērk vai nepērk datu plūsmu no citiem operatoriem, bet gan konkrētiem, izmērāmiem datiem. Līdz ar to Pasūtītājs izvirzīto prasību uzskata par piedāvājumu sagatavošanu atvieglojošu, nevis apgrūtinošu vai diskriminējošu prasību, jo nodrošina skaidru un salīdzināmu piedāvājumu vērtēšanu. </w:t>
      </w:r>
      <w:r w:rsidR="00986812">
        <w:rPr>
          <w:rFonts w:eastAsia="Times New Roman"/>
        </w:rPr>
        <w:t xml:space="preserve">Ievērojot iepriekš minēto, </w:t>
      </w:r>
      <w:r w:rsidRPr="00853427">
        <w:rPr>
          <w:rFonts w:eastAsia="Times New Roman"/>
        </w:rPr>
        <w:t>nolikumā izvirzīto atsauci uz p</w:t>
      </w:r>
      <w:r>
        <w:rPr>
          <w:rFonts w:eastAsia="Times New Roman"/>
        </w:rPr>
        <w:t>ētījumu Pasūtītājs nemainīs.</w:t>
      </w:r>
    </w:p>
    <w:p w:rsidR="00853427" w:rsidRDefault="00853427" w:rsidP="00853427">
      <w:pPr>
        <w:pStyle w:val="ListParagraph"/>
        <w:numPr>
          <w:ilvl w:val="0"/>
          <w:numId w:val="1"/>
        </w:numPr>
        <w:jc w:val="both"/>
        <w:rPr>
          <w:rFonts w:eastAsia="Times New Roman"/>
        </w:rPr>
      </w:pPr>
      <w:r w:rsidRPr="00853427">
        <w:rPr>
          <w:rFonts w:eastAsia="Times New Roman"/>
        </w:rPr>
        <w:t xml:space="preserve">Pasūtītāja ieskatā, Pretendentam nav pilnīgas informācija par Latvijā </w:t>
      </w:r>
      <w:proofErr w:type="spellStart"/>
      <w:r w:rsidRPr="00853427">
        <w:rPr>
          <w:rFonts w:eastAsia="Times New Roman"/>
        </w:rPr>
        <w:t>klātesošiem</w:t>
      </w:r>
      <w:proofErr w:type="spellEnd"/>
      <w:r w:rsidRPr="00853427">
        <w:rPr>
          <w:rFonts w:eastAsia="Times New Roman"/>
        </w:rPr>
        <w:t xml:space="preserve"> TIER 1 operatoriem (ar atsauci uz pētījumu) un to uzturētajiem klātbūtnes punktiem (</w:t>
      </w:r>
      <w:proofErr w:type="spellStart"/>
      <w:r w:rsidRPr="00853427">
        <w:rPr>
          <w:rFonts w:eastAsia="Times New Roman"/>
        </w:rPr>
        <w:t>PoPs</w:t>
      </w:r>
      <w:proofErr w:type="spellEnd"/>
      <w:r w:rsidRPr="00853427">
        <w:rPr>
          <w:rFonts w:eastAsia="Times New Roman"/>
        </w:rPr>
        <w:t>). Pasūtītājs nevar komentēt Pretendenta apsvērumus, kādēļ tas uzskata, ka tikai vienam TIER 1 operatoram ir 2 klātbūtnes punkti Latvijā, taču, vismaz pēc Pasūtītājam pieejamās informācijas, tādi</w:t>
      </w:r>
      <w:r w:rsidR="00986812">
        <w:rPr>
          <w:rFonts w:eastAsia="Times New Roman"/>
        </w:rPr>
        <w:t xml:space="preserve"> operatori ir vairāk</w:t>
      </w:r>
      <w:r>
        <w:rPr>
          <w:rFonts w:eastAsia="Times New Roman"/>
        </w:rPr>
        <w:t xml:space="preserve"> kā viens.</w:t>
      </w:r>
    </w:p>
    <w:p w:rsidR="00853427" w:rsidRDefault="00853427" w:rsidP="00853427">
      <w:pPr>
        <w:pStyle w:val="ListParagraph"/>
        <w:numPr>
          <w:ilvl w:val="0"/>
          <w:numId w:val="1"/>
        </w:numPr>
        <w:jc w:val="both"/>
        <w:rPr>
          <w:rFonts w:eastAsia="Times New Roman"/>
        </w:rPr>
      </w:pPr>
      <w:r w:rsidRPr="00853427">
        <w:rPr>
          <w:rFonts w:eastAsia="Times New Roman"/>
        </w:rPr>
        <w:t>Pasūtītāja ieskatā, ir svarīgi, lai TIER 1 operatoram, ar kuru Pretendentam ir izveidoti prasībām atbilstoši savienojumi, būtu vismaz 2 klātbūtnes punkti Latvijā, kas savienoti ar tā pamattīklu ar loģiski un fiziski neatkarīgām datu pārraides līnijām. Tādu principu, cita starpā, sauc par “</w:t>
      </w:r>
      <w:proofErr w:type="spellStart"/>
      <w:r w:rsidRPr="00853427">
        <w:rPr>
          <w:rFonts w:eastAsia="Times New Roman"/>
        </w:rPr>
        <w:t>Blue</w:t>
      </w:r>
      <w:proofErr w:type="spellEnd"/>
      <w:r w:rsidRPr="00853427">
        <w:rPr>
          <w:rFonts w:eastAsia="Times New Roman"/>
        </w:rPr>
        <w:t xml:space="preserve"> </w:t>
      </w:r>
      <w:proofErr w:type="spellStart"/>
      <w:r w:rsidRPr="00853427">
        <w:rPr>
          <w:rFonts w:eastAsia="Times New Roman"/>
        </w:rPr>
        <w:t>and</w:t>
      </w:r>
      <w:proofErr w:type="spellEnd"/>
      <w:r w:rsidRPr="00853427">
        <w:rPr>
          <w:rFonts w:eastAsia="Times New Roman"/>
        </w:rPr>
        <w:t xml:space="preserve"> Red </w:t>
      </w:r>
      <w:proofErr w:type="spellStart"/>
      <w:r w:rsidRPr="00853427">
        <w:rPr>
          <w:rFonts w:eastAsia="Times New Roman"/>
        </w:rPr>
        <w:t>Networks</w:t>
      </w:r>
      <w:proofErr w:type="spellEnd"/>
      <w:r w:rsidRPr="00853427">
        <w:rPr>
          <w:rFonts w:eastAsia="Times New Roman"/>
        </w:rPr>
        <w:t>” principu, un ir pamatota ar vispārpieņemtu sta</w:t>
      </w:r>
      <w:r>
        <w:rPr>
          <w:rFonts w:eastAsia="Times New Roman"/>
        </w:rPr>
        <w:t>rptautiskā Interneta tīklu praks</w:t>
      </w:r>
      <w:r w:rsidRPr="00853427">
        <w:rPr>
          <w:rFonts w:eastAsia="Times New Roman"/>
        </w:rPr>
        <w:t xml:space="preserve">i, kad TIER 1 operators garantē tīklu un klātbūtnes punktu fizisku un loģisku rezervāciju, un pasūtītājam attiecīgi ir drošība, ka pat vienas tīkla daļas bojājuma gadījumā pakalpojumus bez pārtraukumiem un degradācijas būs pieejams. Ja TIER 1 operatoram ir tikai viens klātbūtnes punkts Latvijā, šādu garantiju tas nevar sniegt. </w:t>
      </w:r>
      <w:r w:rsidR="00986812">
        <w:rPr>
          <w:rFonts w:eastAsia="Times New Roman"/>
        </w:rPr>
        <w:t xml:space="preserve">Pasūtītājs piekrīt </w:t>
      </w:r>
      <w:r w:rsidRPr="00853427">
        <w:rPr>
          <w:rFonts w:eastAsia="Times New Roman"/>
        </w:rPr>
        <w:t xml:space="preserve"> Pretendentam, ka tas varētu izveidot savienojumu ar TIER 1 operatoru citā valstī, taču Pasūtīju neapmierina šāds tehniskais risinājums, jo negarantē, ka datu pārraides līnija, kas tiks izmantota, lai savienotos ar TIER 1 operatora klātbūtnes punktu ārvalstīs kādā no posmiem visā Līguma darbības laikā nepārklāsies ar to datu pārraides līniju, ko TIER 1 operators izmanto, lai pievienotu savu klātbūtnes punktu Latvijā savam pamattīklam, sevišķi, ja Pretendentam nav kontroles pār izvēlēto TIER 1 operatoru un informācijas par tā izvēlēta</w:t>
      </w:r>
      <w:r>
        <w:rPr>
          <w:rFonts w:eastAsia="Times New Roman"/>
        </w:rPr>
        <w:t>jiem tehniskajiem risinājumiem.</w:t>
      </w:r>
    </w:p>
    <w:p w:rsidR="00853427" w:rsidRPr="00853427" w:rsidRDefault="00853427" w:rsidP="00853427">
      <w:pPr>
        <w:pStyle w:val="ListParagraph"/>
        <w:numPr>
          <w:ilvl w:val="0"/>
          <w:numId w:val="1"/>
        </w:numPr>
        <w:jc w:val="both"/>
        <w:rPr>
          <w:rFonts w:eastAsia="Times New Roman"/>
        </w:rPr>
      </w:pPr>
      <w:r w:rsidRPr="00853427">
        <w:rPr>
          <w:rFonts w:eastAsia="Times New Roman"/>
        </w:rPr>
        <w:t xml:space="preserve">Pasūtītāja ieskatā, ir svarīgi, lai Pretendents spētu demonstrēt nopietnu sadarbību ar kādu no TIER 1 starptautiskā internet pakalpojumu sniedzējiem, spējot pieprasīt un saņemt rakstisku apliecinājumu no izvēlētā TIER 1 operatora par attiecīgajām nolikumā izvirzītajām prasībām. Šādas spējas demonstrēšana garantē to, ka piedāvātie tehniskie risinājumi ir ilgtspējīgi, netiks mainīti (atskaitot uzlabošanu) Līguma darbības laikā, Pretendentam ir attiecīgi komunikāciju kanāli un ikdienas sadarbība pietiekamā līmenī, lai spētu risināt iespējamās problēmas, maršrutēšanas jautājumus, risinātu ar drošību saistītas lietas, </w:t>
      </w:r>
      <w:proofErr w:type="spellStart"/>
      <w:r w:rsidRPr="00853427">
        <w:rPr>
          <w:rFonts w:eastAsia="Times New Roman"/>
        </w:rPr>
        <w:t>utml</w:t>
      </w:r>
      <w:proofErr w:type="spellEnd"/>
      <w:r w:rsidRPr="00853427">
        <w:rPr>
          <w:rFonts w:eastAsia="Times New Roman"/>
        </w:rPr>
        <w:t xml:space="preserve">.  RTU ir viena no vadošajām tehniskajā universitātēm Eiropā, un </w:t>
      </w:r>
      <w:r w:rsidRPr="00853427">
        <w:rPr>
          <w:rFonts w:eastAsia="Times New Roman"/>
        </w:rPr>
        <w:lastRenderedPageBreak/>
        <w:t>neuzskata šo darījumu par maznozīmīgu vismaz Latvijas apstākļos, kā rezultātā uztur prasību iesniegt prasīto apliecinājumu no TIER 1 operatora.</w:t>
      </w:r>
      <w:r w:rsidRPr="00853427">
        <w:rPr>
          <w:rFonts w:eastAsia="Times New Roman"/>
        </w:rPr>
        <w:br/>
        <w:t>Ņemot vērā augstākminēto, Pasūtītājs neveiks izmaiņas Nolikuma Tehniskajā specifikācijas 2.9. punktā, saglabājot to pašreizējā redakcijā.</w:t>
      </w:r>
    </w:p>
    <w:p w:rsidR="002C2D6C" w:rsidRDefault="002C2D6C" w:rsidP="00853427">
      <w:pPr>
        <w:jc w:val="both"/>
      </w:pPr>
    </w:p>
    <w:sectPr w:rsidR="002C2D6C" w:rsidSect="00853427">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4400B3"/>
    <w:multiLevelType w:val="hybridMultilevel"/>
    <w:tmpl w:val="9D681D1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7683627F"/>
    <w:multiLevelType w:val="hybridMultilevel"/>
    <w:tmpl w:val="F6D4B96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B37"/>
    <w:rsid w:val="00085774"/>
    <w:rsid w:val="000A70D9"/>
    <w:rsid w:val="0019249F"/>
    <w:rsid w:val="002C2D6C"/>
    <w:rsid w:val="00311BC8"/>
    <w:rsid w:val="00561312"/>
    <w:rsid w:val="00565FFC"/>
    <w:rsid w:val="00853427"/>
    <w:rsid w:val="0085797E"/>
    <w:rsid w:val="00986812"/>
    <w:rsid w:val="00B20B95"/>
    <w:rsid w:val="00D77B2D"/>
    <w:rsid w:val="00E14373"/>
    <w:rsid w:val="00EB5B3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38BE0"/>
  <w15:chartTrackingRefBased/>
  <w15:docId w15:val="{1D25E564-8EEF-47DB-A5FE-3C40665AD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3427"/>
    <w:pPr>
      <w:spacing w:after="0" w:line="240" w:lineRule="auto"/>
    </w:pPr>
    <w:rPr>
      <w:rFonts w:ascii="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53427"/>
    <w:rPr>
      <w:color w:val="0000FF"/>
      <w:u w:val="single"/>
    </w:rPr>
  </w:style>
  <w:style w:type="paragraph" w:styleId="ListParagraph">
    <w:name w:val="List Paragraph"/>
    <w:aliases w:val="Normal bullet 2,Bullet list"/>
    <w:basedOn w:val="Normal"/>
    <w:link w:val="ListParagraphChar"/>
    <w:uiPriority w:val="34"/>
    <w:qFormat/>
    <w:rsid w:val="00853427"/>
    <w:pPr>
      <w:ind w:left="720"/>
      <w:contextualSpacing/>
    </w:pPr>
  </w:style>
  <w:style w:type="paragraph" w:styleId="BalloonText">
    <w:name w:val="Balloon Text"/>
    <w:basedOn w:val="Normal"/>
    <w:link w:val="BalloonTextChar"/>
    <w:uiPriority w:val="99"/>
    <w:semiHidden/>
    <w:unhideWhenUsed/>
    <w:rsid w:val="008579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797E"/>
    <w:rPr>
      <w:rFonts w:ascii="Segoe UI" w:hAnsi="Segoe UI" w:cs="Segoe UI"/>
      <w:sz w:val="18"/>
      <w:szCs w:val="18"/>
      <w:lang w:eastAsia="lv-LV"/>
    </w:rPr>
  </w:style>
  <w:style w:type="character" w:customStyle="1" w:styleId="ListParagraphChar">
    <w:name w:val="List Paragraph Char"/>
    <w:aliases w:val="Normal bullet 2 Char,Bullet list Char"/>
    <w:link w:val="ListParagraph"/>
    <w:uiPriority w:val="34"/>
    <w:rsid w:val="00B20B95"/>
    <w:rPr>
      <w:rFonts w:ascii="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467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3</Pages>
  <Words>3358</Words>
  <Characters>1915</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Ruslans Dudkins</dc:creator>
  <cp:keywords/>
  <dc:description/>
  <cp:lastModifiedBy>Iveta Benga</cp:lastModifiedBy>
  <cp:revision>3</cp:revision>
  <cp:lastPrinted>2017-07-11T07:38:00Z</cp:lastPrinted>
  <dcterms:created xsi:type="dcterms:W3CDTF">2017-07-11T06:26:00Z</dcterms:created>
  <dcterms:modified xsi:type="dcterms:W3CDTF">2017-07-11T07:54:00Z</dcterms:modified>
</cp:coreProperties>
</file>