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A1" w:rsidRPr="004118A1" w:rsidRDefault="004118A1" w:rsidP="004118A1">
      <w:pPr>
        <w:spacing w:after="0" w:line="240" w:lineRule="auto"/>
        <w:jc w:val="right"/>
        <w:rPr>
          <w:rFonts w:ascii="Times New Roman" w:eastAsia="PMingLiU" w:hAnsi="Times New Roman" w:cs="Times New Roman"/>
          <w:color w:val="000000"/>
          <w:sz w:val="20"/>
          <w:szCs w:val="20"/>
          <w:lang w:val="fi-FI" w:eastAsia="lv-LV"/>
        </w:rPr>
      </w:pPr>
      <w:r w:rsidRPr="004118A1">
        <w:rPr>
          <w:rFonts w:ascii="Times New Roman" w:eastAsia="PMingLiU" w:hAnsi="Times New Roman" w:cs="Times New Roman"/>
          <w:color w:val="000000"/>
          <w:sz w:val="20"/>
          <w:szCs w:val="20"/>
          <w:lang w:val="fi-FI" w:eastAsia="lv-LV"/>
        </w:rPr>
        <w:t>Pielikums Nr.2.1</w:t>
      </w:r>
    </w:p>
    <w:p w:rsidR="004118A1" w:rsidRPr="004118A1" w:rsidRDefault="004118A1" w:rsidP="004118A1">
      <w:pPr>
        <w:spacing w:after="0" w:line="240" w:lineRule="auto"/>
        <w:jc w:val="right"/>
        <w:rPr>
          <w:rFonts w:ascii="Times New Roman" w:eastAsia="PMingLiU" w:hAnsi="Times New Roman" w:cs="Times New Roman"/>
          <w:color w:val="000000"/>
          <w:sz w:val="20"/>
          <w:szCs w:val="20"/>
          <w:lang w:val="fi-FI" w:eastAsia="lv-LV"/>
        </w:rPr>
      </w:pPr>
      <w:r w:rsidRPr="004118A1">
        <w:rPr>
          <w:rFonts w:ascii="Times New Roman" w:eastAsia="PMingLiU" w:hAnsi="Times New Roman" w:cs="Times New Roman"/>
          <w:color w:val="000000"/>
          <w:sz w:val="20"/>
          <w:szCs w:val="20"/>
          <w:lang w:val="fi-FI" w:eastAsia="lv-LV"/>
        </w:rPr>
        <w:t>Iepirkuma ID RTU-2015/80 Nolikumam</w:t>
      </w:r>
    </w:p>
    <w:p w:rsidR="004118A1" w:rsidRPr="004118A1" w:rsidRDefault="004118A1" w:rsidP="004118A1">
      <w:pPr>
        <w:spacing w:after="0" w:line="240" w:lineRule="auto"/>
        <w:jc w:val="center"/>
        <w:rPr>
          <w:rFonts w:ascii="Times New Roman" w:eastAsia="PMingLiU" w:hAnsi="Times New Roman" w:cs="Times New Roman"/>
          <w:b/>
          <w:color w:val="000000"/>
          <w:lang w:val="fi-FI" w:eastAsia="lv-LV"/>
        </w:rPr>
      </w:pPr>
    </w:p>
    <w:p w:rsidR="004118A1" w:rsidRPr="004118A1" w:rsidRDefault="004118A1" w:rsidP="004118A1">
      <w:pPr>
        <w:spacing w:after="0" w:line="240" w:lineRule="auto"/>
        <w:jc w:val="center"/>
        <w:rPr>
          <w:rFonts w:ascii="Times New Roman" w:eastAsia="PMingLiU" w:hAnsi="Times New Roman" w:cs="Times New Roman"/>
          <w:b/>
          <w:color w:val="000000"/>
          <w:lang w:val="fi-FI" w:eastAsia="lv-LV"/>
        </w:rPr>
      </w:pPr>
    </w:p>
    <w:p w:rsidR="004118A1" w:rsidRPr="004118A1" w:rsidRDefault="004118A1" w:rsidP="004118A1">
      <w:pPr>
        <w:spacing w:after="0" w:line="240" w:lineRule="auto"/>
        <w:jc w:val="center"/>
        <w:rPr>
          <w:rFonts w:ascii="Times New Roman" w:eastAsia="PMingLiU" w:hAnsi="Times New Roman" w:cs="Times New Roman"/>
          <w:b/>
          <w:color w:val="000000"/>
          <w:lang w:val="fi-FI" w:eastAsia="lv-LV"/>
        </w:rPr>
      </w:pPr>
      <w:r w:rsidRPr="004118A1">
        <w:rPr>
          <w:rFonts w:ascii="Times New Roman" w:eastAsia="PMingLiU" w:hAnsi="Times New Roman" w:cs="Times New Roman"/>
          <w:b/>
          <w:color w:val="000000"/>
          <w:lang w:val="fi-FI" w:eastAsia="lv-LV"/>
        </w:rPr>
        <w:t xml:space="preserve">TEHNISKĀ SPECIFIKĀCIJA </w:t>
      </w:r>
    </w:p>
    <w:p w:rsidR="004118A1" w:rsidRPr="004118A1" w:rsidRDefault="004118A1" w:rsidP="004118A1">
      <w:pPr>
        <w:spacing w:after="0" w:line="240" w:lineRule="auto"/>
        <w:jc w:val="center"/>
        <w:rPr>
          <w:rFonts w:ascii="Times New Roman" w:eastAsia="Calibri" w:hAnsi="Times New Roman" w:cs="Times New Roman"/>
          <w:lang w:val="fi-FI" w:eastAsia="lv-LV"/>
        </w:rPr>
      </w:pPr>
    </w:p>
    <w:p w:rsidR="004118A1" w:rsidRPr="004118A1" w:rsidRDefault="004118A1" w:rsidP="004118A1">
      <w:pPr>
        <w:spacing w:after="0" w:line="240" w:lineRule="auto"/>
        <w:ind w:hanging="426"/>
        <w:jc w:val="center"/>
        <w:rPr>
          <w:rFonts w:ascii="Calibri" w:eastAsia="PMingLiU" w:hAnsi="Calibri" w:cs="Times New Roman"/>
          <w:lang w:eastAsia="ja-JP"/>
        </w:rPr>
      </w:pPr>
      <w:r w:rsidRPr="004118A1">
        <w:rPr>
          <w:rFonts w:ascii="Times New Roman" w:eastAsia="PMingLiU" w:hAnsi="Times New Roman" w:cs="Times New Roman"/>
          <w:b/>
          <w:color w:val="000000"/>
          <w:lang w:val="fi-FI" w:eastAsia="lv-LV"/>
        </w:rPr>
        <w:t>iepirkuma daļa Nr.1</w:t>
      </w:r>
      <w:r w:rsidRPr="004118A1">
        <w:rPr>
          <w:rFonts w:ascii="Times New Roman" w:eastAsia="Calibri" w:hAnsi="Times New Roman" w:cs="Times New Roman"/>
          <w:b/>
        </w:rPr>
        <w:t xml:space="preserve"> – Diferenciālā skenējoša kalorimetra piegāde</w:t>
      </w:r>
    </w:p>
    <w:p w:rsidR="004118A1" w:rsidRPr="004118A1" w:rsidRDefault="004118A1" w:rsidP="004118A1">
      <w:pPr>
        <w:spacing w:after="0" w:line="240" w:lineRule="auto"/>
        <w:rPr>
          <w:rFonts w:ascii="Times New Roman" w:eastAsia="Calibri" w:hAnsi="Times New Roman" w:cs="Times New Roman"/>
        </w:rPr>
      </w:pPr>
    </w:p>
    <w:p w:rsidR="004118A1" w:rsidRPr="004118A1" w:rsidRDefault="004118A1" w:rsidP="004118A1">
      <w:pPr>
        <w:spacing w:after="0" w:line="240" w:lineRule="auto"/>
        <w:ind w:left="-426"/>
        <w:jc w:val="both"/>
        <w:rPr>
          <w:rFonts w:ascii="Times New Roman" w:eastAsia="Times New Roman" w:hAnsi="Times New Roman" w:cs="Arial"/>
          <w:bCs/>
        </w:rPr>
      </w:pPr>
      <w:r w:rsidRPr="004118A1">
        <w:rPr>
          <w:rFonts w:ascii="Times New Roman" w:eastAsia="Times New Roman" w:hAnsi="Times New Roman" w:cs="Arial"/>
          <w:b/>
          <w:bCs/>
        </w:rPr>
        <w:t>Pamatojums:</w:t>
      </w:r>
      <w:r w:rsidRPr="004118A1">
        <w:rPr>
          <w:rFonts w:ascii="Times New Roman" w:eastAsia="Times New Roman" w:hAnsi="Times New Roman" w:cs="Arial"/>
          <w:bCs/>
        </w:rPr>
        <w:t xml:space="preserve"> </w:t>
      </w:r>
      <w:r w:rsidRPr="004118A1">
        <w:rPr>
          <w:rFonts w:ascii="Times New Roman" w:eastAsia="Calibri" w:hAnsi="Times New Roman" w:cs="Times New Roman"/>
          <w:bCs/>
        </w:rPr>
        <w:t>Diferenciālais skenējošais kalorimetrs ir nepieciešams, lai izvēlētos pārbaudāmo polimēru kompozīciju testēšanas temperatūru režīmu, kas nepieciešams darbam ar iekārtām (t.sk. ar universālo pārbaužu iekārtu, kas aprīkota ar temperatūras kameru).</w:t>
      </w:r>
    </w:p>
    <w:p w:rsidR="004118A1" w:rsidRPr="004118A1" w:rsidRDefault="004118A1" w:rsidP="004118A1">
      <w:pPr>
        <w:spacing w:after="0" w:line="240" w:lineRule="auto"/>
        <w:ind w:left="-426"/>
        <w:rPr>
          <w:rFonts w:ascii="Times New Roman" w:eastAsia="Times New Roman" w:hAnsi="Times New Roman" w:cs="Arial"/>
          <w:bCs/>
        </w:rPr>
      </w:pPr>
    </w:p>
    <w:tbl>
      <w:tblPr>
        <w:tblW w:w="5288" w:type="pct"/>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485"/>
        <w:gridCol w:w="6283"/>
      </w:tblGrid>
      <w:tr w:rsidR="004118A1" w:rsidRPr="004118A1" w:rsidTr="004118A1">
        <w:trPr>
          <w:trHeight w:val="242"/>
        </w:trPr>
        <w:tc>
          <w:tcPr>
            <w:tcW w:w="1417" w:type="pct"/>
            <w:tcBorders>
              <w:top w:val="single" w:sz="6" w:space="0" w:color="000000"/>
              <w:left w:val="single" w:sz="6" w:space="0" w:color="000000"/>
              <w:bottom w:val="single" w:sz="6" w:space="0" w:color="000000"/>
              <w:right w:val="single" w:sz="6" w:space="0" w:color="000000"/>
            </w:tcBorders>
            <w:shd w:val="clear" w:color="auto" w:fill="C2C1C5"/>
            <w:tcMar>
              <w:top w:w="15" w:type="dxa"/>
              <w:left w:w="15" w:type="dxa"/>
              <w:bottom w:w="0" w:type="dxa"/>
              <w:right w:w="15" w:type="dxa"/>
            </w:tcMar>
            <w:vAlign w:val="center"/>
          </w:tcPr>
          <w:p w:rsidR="004118A1" w:rsidRPr="004118A1" w:rsidRDefault="004118A1" w:rsidP="004118A1">
            <w:pPr>
              <w:spacing w:after="0" w:line="240" w:lineRule="auto"/>
              <w:jc w:val="center"/>
              <w:rPr>
                <w:rFonts w:ascii="Times New Roman" w:eastAsia="PMingLiU" w:hAnsi="Times New Roman" w:cs="Times New Roman"/>
                <w:b/>
                <w:lang w:eastAsia="ja-JP"/>
              </w:rPr>
            </w:pPr>
            <w:r w:rsidRPr="004118A1">
              <w:rPr>
                <w:rFonts w:ascii="Times New Roman" w:eastAsia="MS Mincho" w:hAnsi="Times New Roman" w:cs="Times New Roman"/>
                <w:b/>
                <w:lang w:eastAsia="ja-JP"/>
              </w:rPr>
              <w:t>Sastāvdaļas vai rādītāji</w:t>
            </w:r>
          </w:p>
        </w:tc>
        <w:tc>
          <w:tcPr>
            <w:tcW w:w="3583" w:type="pct"/>
            <w:tcBorders>
              <w:top w:val="single" w:sz="6" w:space="0" w:color="000000"/>
              <w:left w:val="single" w:sz="6" w:space="0" w:color="000000"/>
              <w:bottom w:val="single" w:sz="6" w:space="0" w:color="000000"/>
              <w:right w:val="single" w:sz="6" w:space="0" w:color="000000"/>
            </w:tcBorders>
            <w:shd w:val="clear" w:color="auto" w:fill="C2C1C5"/>
            <w:tcMar>
              <w:top w:w="15" w:type="dxa"/>
              <w:left w:w="15" w:type="dxa"/>
              <w:bottom w:w="0" w:type="dxa"/>
              <w:right w:w="15" w:type="dxa"/>
            </w:tcMar>
            <w:vAlign w:val="center"/>
          </w:tcPr>
          <w:p w:rsidR="004118A1" w:rsidRPr="004118A1" w:rsidRDefault="004118A1" w:rsidP="004118A1">
            <w:pPr>
              <w:spacing w:after="0" w:line="240" w:lineRule="auto"/>
              <w:jc w:val="center"/>
              <w:rPr>
                <w:rFonts w:ascii="Times New Roman" w:eastAsia="PMingLiU" w:hAnsi="Times New Roman" w:cs="Times New Roman"/>
                <w:lang w:eastAsia="ja-JP"/>
              </w:rPr>
            </w:pPr>
            <w:r w:rsidRPr="004118A1">
              <w:rPr>
                <w:rFonts w:ascii="Times New Roman" w:eastAsia="PMingLiU" w:hAnsi="Times New Roman" w:cs="Times New Roman"/>
                <w:b/>
                <w:lang w:eastAsia="ja-JP"/>
              </w:rPr>
              <w:t>Prasības</w:t>
            </w:r>
          </w:p>
        </w:tc>
      </w:tr>
      <w:tr w:rsidR="004118A1" w:rsidRPr="004118A1" w:rsidTr="004118A1">
        <w:trPr>
          <w:trHeight w:val="24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2C1C5"/>
            <w:tcMar>
              <w:top w:w="15" w:type="dxa"/>
              <w:left w:w="15" w:type="dxa"/>
              <w:bottom w:w="0" w:type="dxa"/>
              <w:right w:w="15" w:type="dxa"/>
            </w:tcMar>
          </w:tcPr>
          <w:p w:rsidR="004118A1" w:rsidRPr="004118A1" w:rsidRDefault="004118A1" w:rsidP="004118A1">
            <w:pPr>
              <w:spacing w:after="0" w:line="240" w:lineRule="auto"/>
              <w:ind w:firstLine="183"/>
              <w:contextualSpacing/>
              <w:rPr>
                <w:rFonts w:ascii="Times New Roman" w:eastAsia="Times New Roman" w:hAnsi="Times New Roman" w:cs="Times New Roman"/>
                <w:lang w:eastAsia="lv-LV"/>
              </w:rPr>
            </w:pPr>
            <w:r w:rsidRPr="004118A1">
              <w:rPr>
                <w:rFonts w:ascii="Times New Roman" w:eastAsia="Calibri" w:hAnsi="Times New Roman" w:cs="Times New Roman"/>
                <w:b/>
              </w:rPr>
              <w:t>1. Diferenciālais skenējošais kalorimetrs – 1 gab.</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 xml:space="preserve">1.1. Temperatūras diapazons: </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contextualSpacing/>
              <w:rPr>
                <w:rFonts w:ascii="Times New Roman" w:eastAsia="Calibri" w:hAnsi="Times New Roman" w:cs="Times New Roman"/>
              </w:rPr>
            </w:pPr>
            <w:r w:rsidRPr="004118A1">
              <w:rPr>
                <w:rFonts w:ascii="Times New Roman" w:eastAsia="Times New Roman" w:hAnsi="Times New Roman" w:cs="Times New Roman"/>
                <w:lang w:eastAsia="lv-LV"/>
              </w:rPr>
              <w:t xml:space="preserve">vismaz no </w:t>
            </w:r>
            <w:r w:rsidRPr="004118A1">
              <w:rPr>
                <w:rFonts w:ascii="Times New Roman" w:eastAsia="Times New Roman" w:hAnsi="Times New Roman" w:cs="Times New Roman"/>
                <w:bCs/>
                <w:color w:val="000000"/>
              </w:rPr>
              <w:t>–</w:t>
            </w:r>
            <w:r w:rsidRPr="004118A1">
              <w:rPr>
                <w:rFonts w:ascii="Times New Roman" w:eastAsia="Times New Roman" w:hAnsi="Times New Roman" w:cs="Times New Roman"/>
                <w:lang w:eastAsia="lv-LV"/>
              </w:rPr>
              <w:t>100...</w:t>
            </w:r>
            <w:r w:rsidRPr="004118A1">
              <w:rPr>
                <w:rFonts w:ascii="Times New Roman" w:eastAsia="Times New Roman" w:hAnsi="Times New Roman" w:cs="Times New Roman"/>
                <w:b/>
                <w:lang w:eastAsia="lv-LV"/>
              </w:rPr>
              <w:t>+</w:t>
            </w:r>
            <w:r w:rsidRPr="004118A1">
              <w:rPr>
                <w:rFonts w:ascii="Times New Roman" w:eastAsia="Times New Roman" w:hAnsi="Times New Roman" w:cs="Times New Roman"/>
                <w:lang w:eastAsia="lv-LV"/>
              </w:rPr>
              <w:t>450ºC</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1.2. Iekārtas dzesēšana:</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 xml:space="preserve">izmantojot ārēju dzesētāju </w:t>
            </w:r>
          </w:p>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(bez šķidrā slāpekļa palīdzības)</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 xml:space="preserve">1.3. Temperatūras precizitāte: </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±0.2ºC vai augstāka</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1.4. Temperatūras atkārtojamība:</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±0.02°C vai augstāka</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1.5. Krāsns temperatūras izšķirtspēja:</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Vismaz 0.00006°C</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1.6. Sildīšanas ātrums: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0.02...300ºC/min vai plašāks</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1.7. Dzesēšanas ātrums: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0.02...50°C/min vai plašāks</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highlight w:val="yellow"/>
              </w:rPr>
            </w:pPr>
            <w:r w:rsidRPr="004118A1">
              <w:rPr>
                <w:rFonts w:ascii="Times New Roman" w:eastAsia="Times New Roman" w:hAnsi="Times New Roman" w:cs="Times New Roman"/>
                <w:lang w:eastAsia="lv-LV"/>
              </w:rPr>
              <w:t>1.8. Sensora tips: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Keramiskais ar vismaz 50 termopāriem</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Times New Roman" w:hAnsi="Times New Roman" w:cs="Times New Roman"/>
                <w:lang w:eastAsia="lv-LV"/>
              </w:rPr>
              <w:t>1.9. Signāla laika konstante:</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PMingLiU" w:hAnsi="Times New Roman" w:cs="Times New Roman"/>
                <w:lang w:eastAsia="lv-LV"/>
              </w:rPr>
              <w:t>1.8 s vai zemāka</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Times New Roman" w:hAnsi="Times New Roman" w:cs="Times New Roman"/>
                <w:lang w:eastAsia="lv-LV"/>
              </w:rPr>
              <w:t>1.9. TAWN izšķirtspēja:</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0.12 vai zemāka</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Calibri" w:hAnsi="Times New Roman" w:cs="Times New Roman"/>
              </w:rPr>
              <w:t>1.10. Programmatūra:</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 xml:space="preserve">Jāspēj noteikt stiklošanās, kušanas un kristalizācijas temperatūras, vielu saturu, tīrību un entalpiju. Jābūt iekļautai arī modulētās temperatūras programmatūrai, kas ļauj veikt izotermiskas temperatūras programmas izmaiņas vienā frekvencē, tuvu stāvošu efektu atdalīšanai, reversās un ne-reversās </w:t>
            </w:r>
            <w:proofErr w:type="spellStart"/>
            <w:r w:rsidRPr="004118A1">
              <w:rPr>
                <w:rFonts w:ascii="Times New Roman" w:eastAsia="Times New Roman" w:hAnsi="Times New Roman" w:cs="Times New Roman"/>
                <w:lang w:eastAsia="lv-LV"/>
              </w:rPr>
              <w:t>siltumplūsmas</w:t>
            </w:r>
            <w:proofErr w:type="spellEnd"/>
            <w:r w:rsidRPr="004118A1">
              <w:rPr>
                <w:rFonts w:ascii="Times New Roman" w:eastAsia="Times New Roman" w:hAnsi="Times New Roman" w:cs="Times New Roman"/>
                <w:lang w:eastAsia="lv-LV"/>
              </w:rPr>
              <w:t xml:space="preserve"> noteikšanai, </w:t>
            </w:r>
            <w:proofErr w:type="spellStart"/>
            <w:r w:rsidRPr="004118A1">
              <w:rPr>
                <w:rFonts w:ascii="Times New Roman" w:eastAsia="Times New Roman" w:hAnsi="Times New Roman" w:cs="Times New Roman"/>
                <w:lang w:eastAsia="lv-LV"/>
              </w:rPr>
              <w:t>Furjē</w:t>
            </w:r>
            <w:proofErr w:type="spellEnd"/>
            <w:r w:rsidRPr="004118A1">
              <w:rPr>
                <w:rFonts w:ascii="Times New Roman" w:eastAsia="Times New Roman" w:hAnsi="Times New Roman" w:cs="Times New Roman"/>
                <w:lang w:eastAsia="lv-LV"/>
              </w:rPr>
              <w:t xml:space="preserve"> analīzei un </w:t>
            </w:r>
            <w:proofErr w:type="spellStart"/>
            <w:r w:rsidRPr="004118A1">
              <w:rPr>
                <w:rFonts w:ascii="Times New Roman" w:eastAsia="Times New Roman" w:hAnsi="Times New Roman" w:cs="Times New Roman"/>
                <w:lang w:eastAsia="lv-LV"/>
              </w:rPr>
              <w:t>siltumkapacitātes</w:t>
            </w:r>
            <w:proofErr w:type="spellEnd"/>
            <w:r w:rsidRPr="004118A1">
              <w:rPr>
                <w:rFonts w:ascii="Times New Roman" w:eastAsia="Times New Roman" w:hAnsi="Times New Roman" w:cs="Times New Roman"/>
                <w:lang w:eastAsia="lv-LV"/>
              </w:rPr>
              <w:t xml:space="preserve"> noteikšanai. </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Calibri" w:hAnsi="Times New Roman" w:cs="Times New Roman"/>
              </w:rPr>
              <w:t>2. Papildu aprīkojums*: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proofErr w:type="spellStart"/>
            <w:r w:rsidRPr="004118A1">
              <w:rPr>
                <w:rFonts w:ascii="Times New Roman" w:eastAsia="Times New Roman" w:hAnsi="Times New Roman" w:cs="Times New Roman"/>
                <w:lang w:eastAsia="lv-LV"/>
              </w:rPr>
              <w:t>Daudzfrekvenču</w:t>
            </w:r>
            <w:proofErr w:type="spellEnd"/>
            <w:r w:rsidRPr="004118A1">
              <w:rPr>
                <w:rFonts w:ascii="Times New Roman" w:eastAsia="Times New Roman" w:hAnsi="Times New Roman" w:cs="Times New Roman"/>
                <w:lang w:eastAsia="lv-LV"/>
              </w:rPr>
              <w:t xml:space="preserve"> temperatūras modulētās tehnikas programmatūra</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Calibri" w:hAnsi="Times New Roman" w:cs="Times New Roman"/>
              </w:rPr>
              <w:t>3. Kalibrēšanas iespējas: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Times New Roman" w:hAnsi="Times New Roman" w:cs="Times New Roman"/>
                <w:lang w:eastAsia="lv-LV"/>
              </w:rPr>
              <w:t>Jānodrošina iespēja veikt vienu vienīgu kalibrēšanu jebkurai gāzu / tīģelīšu /sildīšanas ātruma kombinācijai</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left="-15" w:firstLine="142"/>
              <w:contextualSpacing/>
              <w:rPr>
                <w:rFonts w:ascii="Times New Roman" w:eastAsia="Calibri" w:hAnsi="Times New Roman" w:cs="Times New Roman"/>
              </w:rPr>
            </w:pPr>
            <w:r w:rsidRPr="004118A1">
              <w:rPr>
                <w:rFonts w:ascii="Times New Roman" w:eastAsia="Calibri" w:hAnsi="Times New Roman" w:cs="Times New Roman"/>
              </w:rPr>
              <w:t>4. Papildu iespējas: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76" w:lineRule="auto"/>
              <w:ind w:firstLine="183"/>
              <w:rPr>
                <w:rFonts w:ascii="Times New Roman" w:eastAsia="PMingLiU" w:hAnsi="Times New Roman" w:cs="Times New Roman"/>
                <w:lang w:eastAsia="lv-LV"/>
              </w:rPr>
            </w:pPr>
            <w:r w:rsidRPr="004118A1">
              <w:rPr>
                <w:rFonts w:ascii="Times New Roman" w:eastAsia="PMingLiU" w:hAnsi="Times New Roman" w:cs="Times New Roman"/>
                <w:lang w:eastAsia="lv-LV"/>
              </w:rPr>
              <w:t>Jābūt iespējai iekārtai papildus pieslēgt:</w:t>
            </w:r>
          </w:p>
          <w:p w:rsidR="004118A1" w:rsidRPr="004118A1" w:rsidRDefault="004118A1" w:rsidP="004118A1">
            <w:pPr>
              <w:spacing w:after="0" w:line="276" w:lineRule="auto"/>
              <w:ind w:firstLine="183"/>
              <w:rPr>
                <w:rFonts w:ascii="Times New Roman" w:eastAsia="PMingLiU" w:hAnsi="Times New Roman" w:cs="Times New Roman"/>
                <w:lang w:eastAsia="lv-LV"/>
              </w:rPr>
            </w:pPr>
            <w:r w:rsidRPr="004118A1">
              <w:rPr>
                <w:rFonts w:ascii="Times New Roman" w:eastAsia="PMingLiU" w:hAnsi="Times New Roman" w:cs="Times New Roman"/>
                <w:lang w:eastAsia="lv-LV"/>
              </w:rPr>
              <w:t>▪ paraugu robotu ar vismaz 30 paraugu vietām (paraugu robotam jāvar paņemt visus ražotāja piedāvāto tīģelīšu veidus),</w:t>
            </w:r>
          </w:p>
          <w:p w:rsidR="004118A1" w:rsidRPr="004118A1" w:rsidRDefault="004118A1" w:rsidP="004118A1">
            <w:pPr>
              <w:spacing w:after="0" w:line="276" w:lineRule="auto"/>
              <w:ind w:firstLine="183"/>
              <w:rPr>
                <w:rFonts w:ascii="Times New Roman" w:eastAsia="PMingLiU" w:hAnsi="Times New Roman" w:cs="Times New Roman"/>
                <w:lang w:eastAsia="lv-LV"/>
              </w:rPr>
            </w:pPr>
            <w:r w:rsidRPr="004118A1">
              <w:rPr>
                <w:rFonts w:ascii="Times New Roman" w:eastAsia="PMingLiU" w:hAnsi="Times New Roman" w:cs="Times New Roman"/>
                <w:lang w:eastAsia="lv-LV"/>
              </w:rPr>
              <w:t xml:space="preserve">▪ </w:t>
            </w:r>
            <w:proofErr w:type="spellStart"/>
            <w:r w:rsidRPr="004118A1">
              <w:rPr>
                <w:rFonts w:ascii="Times New Roman" w:eastAsia="PMingLiU" w:hAnsi="Times New Roman" w:cs="Times New Roman"/>
                <w:lang w:eastAsia="lv-LV"/>
              </w:rPr>
              <w:t>fotokalorimetrijas</w:t>
            </w:r>
            <w:proofErr w:type="spellEnd"/>
            <w:r w:rsidRPr="004118A1">
              <w:rPr>
                <w:rFonts w:ascii="Times New Roman" w:eastAsia="PMingLiU" w:hAnsi="Times New Roman" w:cs="Times New Roman"/>
                <w:lang w:eastAsia="lv-LV"/>
              </w:rPr>
              <w:t>,</w:t>
            </w:r>
          </w:p>
          <w:p w:rsidR="004118A1" w:rsidRPr="004118A1" w:rsidRDefault="004118A1" w:rsidP="004118A1">
            <w:pPr>
              <w:spacing w:after="0" w:line="240" w:lineRule="auto"/>
              <w:ind w:firstLine="183"/>
              <w:rPr>
                <w:rFonts w:ascii="Times New Roman" w:eastAsia="Times New Roman" w:hAnsi="Times New Roman" w:cs="Times New Roman"/>
                <w:lang w:eastAsia="lv-LV"/>
              </w:rPr>
            </w:pPr>
            <w:r w:rsidRPr="004118A1">
              <w:rPr>
                <w:rFonts w:ascii="Times New Roman" w:eastAsia="PMingLiU" w:hAnsi="Times New Roman" w:cs="Times New Roman"/>
                <w:lang w:eastAsia="lv-LV"/>
              </w:rPr>
              <w:t>▪mikroskopijas aprīkojumu</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27"/>
              <w:jc w:val="both"/>
              <w:rPr>
                <w:rFonts w:ascii="Times New Roman" w:eastAsia="Calibri" w:hAnsi="Times New Roman" w:cs="Times New Roman"/>
              </w:rPr>
            </w:pPr>
            <w:r w:rsidRPr="004118A1">
              <w:rPr>
                <w:rFonts w:ascii="Times New Roman" w:eastAsia="Calibri" w:hAnsi="Times New Roman" w:cs="Times New Roman"/>
              </w:rPr>
              <w:t>5. Iekārtas garantijas laiks:</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Calibri" w:hAnsi="Times New Roman" w:cs="Times New Roman"/>
              </w:rPr>
            </w:pPr>
            <w:r w:rsidRPr="004118A1">
              <w:rPr>
                <w:rFonts w:ascii="Times New Roman" w:eastAsia="Calibri" w:hAnsi="Times New Roman" w:cs="Times New Roman"/>
              </w:rPr>
              <w:t>Vismaz 24 mēneši</w:t>
            </w:r>
          </w:p>
        </w:tc>
      </w:tr>
      <w:tr w:rsidR="004118A1" w:rsidRPr="004118A1" w:rsidTr="00C014C7">
        <w:trPr>
          <w:trHeight w:val="242"/>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240" w:line="240" w:lineRule="auto"/>
              <w:ind w:left="127"/>
              <w:jc w:val="both"/>
              <w:rPr>
                <w:rFonts w:ascii="Times New Roman" w:eastAsia="Cambria" w:hAnsi="Times New Roman" w:cs="Times New Roman"/>
                <w:kern w:val="56"/>
              </w:rPr>
            </w:pPr>
            <w:r w:rsidRPr="004118A1">
              <w:rPr>
                <w:rFonts w:ascii="Times New Roman" w:eastAsia="Calibri" w:hAnsi="Times New Roman" w:cs="Times New Roman"/>
              </w:rPr>
              <w:t>5.1. Garantijas remonta nosacījumi:</w:t>
            </w:r>
          </w:p>
        </w:tc>
        <w:tc>
          <w:tcPr>
            <w:tcW w:w="3583"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tcPr>
          <w:p w:rsidR="004118A1" w:rsidRPr="004118A1" w:rsidRDefault="004118A1" w:rsidP="004118A1">
            <w:pPr>
              <w:spacing w:after="0" w:line="240" w:lineRule="auto"/>
              <w:ind w:firstLine="183"/>
              <w:rPr>
                <w:rFonts w:ascii="Times New Roman" w:eastAsia="Cambria" w:hAnsi="Times New Roman" w:cs="Times New Roman"/>
                <w:kern w:val="56"/>
              </w:rPr>
            </w:pPr>
            <w:r w:rsidRPr="004118A1">
              <w:rPr>
                <w:rFonts w:ascii="Times New Roman" w:eastAsia="Calibri" w:hAnsi="Times New Roman" w:cs="Times New Roman"/>
              </w:rPr>
              <w:t>□ servisa reakcijas laiks 2 darba dienu laikā pēc izsaukuma saņemšanas;</w:t>
            </w:r>
          </w:p>
          <w:p w:rsidR="004118A1" w:rsidRPr="004118A1" w:rsidRDefault="004118A1" w:rsidP="004118A1">
            <w:pPr>
              <w:spacing w:after="0" w:line="240" w:lineRule="auto"/>
              <w:ind w:firstLine="183"/>
              <w:rPr>
                <w:rFonts w:ascii="Times New Roman" w:eastAsia="Cambria" w:hAnsi="Times New Roman" w:cs="Times New Roman"/>
                <w:kern w:val="56"/>
              </w:rPr>
            </w:pPr>
            <w:r w:rsidRPr="004118A1">
              <w:rPr>
                <w:rFonts w:ascii="Times New Roman" w:eastAsia="Calibri" w:hAnsi="Times New Roman" w:cs="Times New Roman"/>
              </w:rPr>
              <w:t>□ garantijas remonts jāveic 7 kalendāro dienu laikā pēc izsaukuma saņemšanas, ja tas nav iespējams, garākā laika periodā, par ko vienojas ar pasūtītāju</w:t>
            </w:r>
          </w:p>
        </w:tc>
      </w:tr>
    </w:tbl>
    <w:p w:rsidR="004118A1" w:rsidRPr="004118A1" w:rsidRDefault="004118A1" w:rsidP="004118A1">
      <w:pPr>
        <w:spacing w:after="0" w:line="240" w:lineRule="auto"/>
        <w:ind w:right="43"/>
        <w:jc w:val="both"/>
        <w:rPr>
          <w:rFonts w:ascii="Times New Roman" w:eastAsia="Calibri" w:hAnsi="Times New Roman" w:cs="Times New Roman"/>
          <w:b/>
        </w:rPr>
      </w:pPr>
      <w:r w:rsidRPr="004118A1">
        <w:rPr>
          <w:rFonts w:ascii="Times New Roman" w:eastAsia="Calibri" w:hAnsi="Times New Roman" w:cs="Times New Roman"/>
          <w:b/>
        </w:rPr>
        <w:t xml:space="preserve">* </w:t>
      </w:r>
      <w:proofErr w:type="spellStart"/>
      <w:r w:rsidRPr="004118A1">
        <w:rPr>
          <w:rFonts w:ascii="Times New Roman" w:eastAsia="Calibri" w:hAnsi="Times New Roman" w:cs="Times New Roman"/>
          <w:b/>
        </w:rPr>
        <w:t>Finansu</w:t>
      </w:r>
      <w:proofErr w:type="spellEnd"/>
      <w:r w:rsidRPr="004118A1">
        <w:rPr>
          <w:rFonts w:ascii="Times New Roman" w:eastAsia="Calibri" w:hAnsi="Times New Roman" w:cs="Times New Roman"/>
          <w:b/>
        </w:rPr>
        <w:t xml:space="preserve"> līdzekļu nepietiekamības dēļ no šīs pozīcijas jāparedz iespēja atteikties</w:t>
      </w:r>
    </w:p>
    <w:p w:rsidR="004118A1" w:rsidRPr="004118A1" w:rsidRDefault="004118A1" w:rsidP="004118A1">
      <w:pPr>
        <w:spacing w:after="0" w:line="240" w:lineRule="auto"/>
        <w:ind w:hanging="426"/>
        <w:rPr>
          <w:rFonts w:ascii="Times New Roman" w:eastAsia="PMingLiU" w:hAnsi="Times New Roman" w:cs="Times New Roman"/>
          <w:color w:val="000000"/>
          <w:lang w:eastAsia="ja-JP"/>
        </w:rPr>
      </w:pPr>
    </w:p>
    <w:tbl>
      <w:tblPr>
        <w:tblW w:w="8672" w:type="dxa"/>
        <w:tblInd w:w="-318" w:type="dxa"/>
        <w:tblCellMar>
          <w:left w:w="0" w:type="dxa"/>
          <w:right w:w="0" w:type="dxa"/>
        </w:tblCellMar>
        <w:tblLook w:val="04A0" w:firstRow="1" w:lastRow="0" w:firstColumn="1" w:lastColumn="0" w:noHBand="0" w:noVBand="1"/>
      </w:tblPr>
      <w:tblGrid>
        <w:gridCol w:w="1198"/>
        <w:gridCol w:w="7474"/>
      </w:tblGrid>
      <w:tr w:rsidR="004118A1" w:rsidRPr="004118A1" w:rsidTr="00C014C7">
        <w:tc>
          <w:tcPr>
            <w:tcW w:w="1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jc w:val="center"/>
              <w:rPr>
                <w:rFonts w:ascii="Times New Roman" w:eastAsia="PMingLiU" w:hAnsi="Times New Roman" w:cs="Times New Roman"/>
                <w:b/>
                <w:color w:val="000000"/>
                <w:lang w:eastAsia="ja-JP"/>
              </w:rPr>
            </w:pPr>
            <w:proofErr w:type="spellStart"/>
            <w:r w:rsidRPr="004118A1">
              <w:rPr>
                <w:rFonts w:ascii="Times New Roman" w:eastAsia="PMingLiU" w:hAnsi="Times New Roman" w:cs="Times New Roman"/>
                <w:b/>
                <w:iCs/>
                <w:color w:val="000000"/>
                <w:lang w:eastAsia="ja-JP"/>
              </w:rPr>
              <w:lastRenderedPageBreak/>
              <w:t>Nr.p.k</w:t>
            </w:r>
            <w:proofErr w:type="spellEnd"/>
            <w:r w:rsidRPr="004118A1">
              <w:rPr>
                <w:rFonts w:ascii="Times New Roman" w:eastAsia="PMingLiU" w:hAnsi="Times New Roman" w:cs="Times New Roman"/>
                <w:b/>
                <w:iCs/>
                <w:color w:val="000000"/>
                <w:lang w:eastAsia="ja-JP"/>
              </w:rPr>
              <w:t>.</w:t>
            </w:r>
          </w:p>
        </w:tc>
        <w:tc>
          <w:tcPr>
            <w:tcW w:w="7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jc w:val="center"/>
              <w:rPr>
                <w:rFonts w:ascii="Times New Roman" w:eastAsia="Calibri" w:hAnsi="Times New Roman" w:cs="Times New Roman"/>
                <w:b/>
                <w:color w:val="000000"/>
                <w:lang w:eastAsia="lv-LV"/>
              </w:rPr>
            </w:pPr>
            <w:r w:rsidRPr="004118A1">
              <w:rPr>
                <w:rFonts w:ascii="Times New Roman" w:eastAsia="Calibri" w:hAnsi="Times New Roman" w:cs="Times New Roman"/>
                <w:b/>
                <w:iCs/>
                <w:color w:val="000000"/>
              </w:rPr>
              <w:t>Vispārējās prasības:</w:t>
            </w:r>
          </w:p>
        </w:tc>
      </w:tr>
      <w:tr w:rsidR="004118A1" w:rsidRPr="004118A1" w:rsidTr="00C014C7">
        <w:trPr>
          <w:trHeight w:val="331"/>
        </w:trPr>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rPr>
                <w:rFonts w:ascii="Times New Roman" w:eastAsia="PMingLiU" w:hAnsi="Times New Roman" w:cs="Times New Roman"/>
                <w:color w:val="000000"/>
                <w:lang w:eastAsia="lv-LV"/>
              </w:rPr>
            </w:pPr>
            <w:r w:rsidRPr="004118A1">
              <w:rPr>
                <w:rFonts w:ascii="Times New Roman" w:eastAsia="PMingLiU" w:hAnsi="Times New Roman" w:cs="Times New Roman"/>
                <w:iCs/>
                <w:color w:val="000000"/>
                <w:lang w:eastAsia="ja-JP"/>
              </w:rPr>
              <w:t xml:space="preserve">Preču piegādi un izkraušanu pretendents veic Pasūtītāja telpās Pasūtītāja atbildīgās personas klātbūtnē. </w:t>
            </w:r>
          </w:p>
        </w:tc>
      </w:tr>
      <w:tr w:rsidR="004118A1" w:rsidRPr="004118A1" w:rsidTr="00C014C7">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rPr>
                <w:rFonts w:ascii="Times New Roman" w:eastAsia="PMingLiU" w:hAnsi="Times New Roman" w:cs="Times New Roman"/>
                <w:color w:val="000000"/>
                <w:lang w:eastAsia="lv-LV"/>
              </w:rPr>
            </w:pPr>
            <w:r w:rsidRPr="004118A1">
              <w:rPr>
                <w:rFonts w:ascii="Times New Roman" w:eastAsia="PMingLiU" w:hAnsi="Times New Roman" w:cs="Times New Roman"/>
                <w:iCs/>
                <w:color w:val="000000"/>
                <w:lang w:eastAsia="ja-JP"/>
              </w:rPr>
              <w:t xml:space="preserve">Preces iepakojumam jābūt tādam, lai tiktu maksimāli samazināta iespēja sabojāt preci tās transportēšanas laikā. </w:t>
            </w:r>
          </w:p>
        </w:tc>
      </w:tr>
      <w:tr w:rsidR="004118A1" w:rsidRPr="004118A1" w:rsidTr="00C014C7">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rPr>
                <w:rFonts w:ascii="Times New Roman" w:eastAsia="PMingLiU" w:hAnsi="Times New Roman" w:cs="Times New Roman"/>
                <w:color w:val="000000"/>
                <w:lang w:eastAsia="lv-LV"/>
              </w:rPr>
            </w:pPr>
            <w:r w:rsidRPr="004118A1">
              <w:rPr>
                <w:rFonts w:ascii="Times New Roman" w:eastAsia="PMingLiU" w:hAnsi="Times New Roman" w:cs="Times New Roman"/>
                <w:iCs/>
                <w:color w:val="000000"/>
                <w:lang w:eastAsia="ja-JP"/>
              </w:rPr>
              <w:t>Precei jābūt jaunai un iepriekš nelietotai.</w:t>
            </w:r>
          </w:p>
        </w:tc>
      </w:tr>
      <w:tr w:rsidR="004118A1" w:rsidRPr="004118A1" w:rsidTr="00C014C7">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tabs>
                <w:tab w:val="left" w:pos="0"/>
              </w:tabs>
              <w:spacing w:after="0" w:line="240" w:lineRule="auto"/>
              <w:rPr>
                <w:rFonts w:ascii="Times New Roman" w:eastAsia="Calibri" w:hAnsi="Times New Roman" w:cs="Times New Roman"/>
              </w:rPr>
            </w:pPr>
            <w:r w:rsidRPr="004118A1">
              <w:rPr>
                <w:rFonts w:ascii="Times New Roman" w:eastAsia="PMingLiU" w:hAnsi="Times New Roman" w:cs="Times New Roman"/>
                <w:iCs/>
                <w:lang w:eastAsia="ja-JP"/>
              </w:rPr>
              <w:t>Piegādes,</w:t>
            </w:r>
            <w:r w:rsidRPr="004118A1">
              <w:rPr>
                <w:rFonts w:ascii="Times New Roman" w:eastAsia="Calibri" w:hAnsi="Times New Roman" w:cs="Times New Roman"/>
              </w:rPr>
              <w:t xml:space="preserve"> uzstādīšanas un testēšanas darba režīmā izmaksas </w:t>
            </w:r>
            <w:r w:rsidRPr="004118A1">
              <w:rPr>
                <w:rFonts w:ascii="Times New Roman" w:eastAsia="PMingLiU" w:hAnsi="Times New Roman" w:cs="Times New Roman"/>
                <w:iCs/>
                <w:lang w:eastAsia="ja-JP"/>
              </w:rPr>
              <w:t xml:space="preserve">sedz pretendents. </w:t>
            </w:r>
          </w:p>
        </w:tc>
      </w:tr>
      <w:tr w:rsidR="004118A1" w:rsidRPr="004118A1" w:rsidTr="00C014C7">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spacing w:after="0" w:line="240" w:lineRule="auto"/>
              <w:rPr>
                <w:rFonts w:ascii="Times New Roman" w:eastAsia="PMingLiU" w:hAnsi="Times New Roman" w:cs="Times New Roman"/>
                <w:bCs/>
                <w:iCs/>
                <w:color w:val="000000"/>
                <w:lang w:eastAsia="lv-LV"/>
              </w:rPr>
            </w:pPr>
            <w:r w:rsidRPr="004118A1">
              <w:rPr>
                <w:rFonts w:ascii="Times New Roman" w:eastAsia="PMingLiU" w:hAnsi="Times New Roman" w:cs="Times New Roman"/>
                <w:color w:val="000000"/>
                <w:lang w:eastAsia="ja-JP"/>
              </w:rPr>
              <w:t xml:space="preserve">Piegādes adrese: Paula </w:t>
            </w:r>
            <w:proofErr w:type="spellStart"/>
            <w:r w:rsidRPr="004118A1">
              <w:rPr>
                <w:rFonts w:ascii="Times New Roman" w:eastAsia="PMingLiU" w:hAnsi="Times New Roman" w:cs="Times New Roman"/>
                <w:color w:val="000000"/>
                <w:lang w:eastAsia="ja-JP"/>
              </w:rPr>
              <w:t>Valdena</w:t>
            </w:r>
            <w:proofErr w:type="spellEnd"/>
            <w:r w:rsidRPr="004118A1">
              <w:rPr>
                <w:rFonts w:ascii="Times New Roman" w:eastAsia="PMingLiU" w:hAnsi="Times New Roman" w:cs="Times New Roman"/>
                <w:color w:val="000000"/>
                <w:lang w:eastAsia="ja-JP"/>
              </w:rPr>
              <w:t xml:space="preserve"> ielā 3, 262.telpa, Rīga.</w:t>
            </w:r>
          </w:p>
        </w:tc>
      </w:tr>
      <w:tr w:rsidR="004118A1" w:rsidRPr="004118A1" w:rsidTr="00C014C7">
        <w:tc>
          <w:tcPr>
            <w:tcW w:w="1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18A1" w:rsidRPr="004118A1" w:rsidRDefault="004118A1" w:rsidP="004118A1">
            <w:pPr>
              <w:numPr>
                <w:ilvl w:val="0"/>
                <w:numId w:val="1"/>
              </w:numPr>
              <w:spacing w:after="0" w:line="240" w:lineRule="auto"/>
              <w:rPr>
                <w:rFonts w:ascii="Times New Roman" w:eastAsia="Calibri" w:hAnsi="Times New Roman" w:cs="Times New Roman"/>
                <w:color w:val="000000"/>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4118A1" w:rsidRPr="004118A1" w:rsidRDefault="004118A1" w:rsidP="004118A1">
            <w:pPr>
              <w:autoSpaceDE w:val="0"/>
              <w:autoSpaceDN w:val="0"/>
              <w:spacing w:after="0" w:line="240" w:lineRule="auto"/>
              <w:rPr>
                <w:rFonts w:ascii="Times New Roman" w:eastAsia="PMingLiU" w:hAnsi="Times New Roman" w:cs="Times New Roman"/>
                <w:color w:val="000000"/>
                <w:lang w:eastAsia="lv-LV"/>
              </w:rPr>
            </w:pPr>
            <w:r w:rsidRPr="004118A1">
              <w:rPr>
                <w:rFonts w:ascii="Times New Roman" w:eastAsia="PMingLiU" w:hAnsi="Times New Roman" w:cs="Times New Roman"/>
                <w:color w:val="000000"/>
                <w:lang w:eastAsia="ja-JP"/>
              </w:rPr>
              <w:t xml:space="preserve">Jāiesniedz lietošanas instrukcija angļu vai latviešu valodā, jānodrošina pasūtītāja personāla instruktāža darbam ar iekārtu   </w:t>
            </w:r>
          </w:p>
        </w:tc>
      </w:tr>
    </w:tbl>
    <w:p w:rsidR="0075027F" w:rsidRDefault="0075027F">
      <w:bookmarkStart w:id="0" w:name="_GoBack"/>
      <w:bookmarkEnd w:id="0"/>
    </w:p>
    <w:sectPr w:rsidR="007502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1"/>
    <w:rsid w:val="004118A1"/>
    <w:rsid w:val="00750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93B9-7554-457A-80AD-B1730044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2015-05-29T10:17:00Z</dcterms:created>
  <dcterms:modified xsi:type="dcterms:W3CDTF">2015-05-29T10:17:00Z</dcterms:modified>
</cp:coreProperties>
</file>