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D967DD">
              <w:rPr>
                <w:sz w:val="22"/>
                <w:szCs w:val="22"/>
                <w:lang w:val="lv-LV"/>
              </w:rPr>
              <w:t>5</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423D13">
              <w:rPr>
                <w:sz w:val="22"/>
                <w:szCs w:val="22"/>
                <w:lang w:val="lv-LV"/>
              </w:rPr>
              <w:t>11</w:t>
            </w:r>
          </w:p>
          <w:p w:rsidR="00C42D64" w:rsidRDefault="00C42D64" w:rsidP="00C42D64">
            <w:pPr>
              <w:jc w:val="center"/>
              <w:rPr>
                <w:sz w:val="22"/>
                <w:szCs w:val="22"/>
                <w:lang w:val="lv-LV"/>
              </w:rPr>
            </w:pPr>
          </w:p>
          <w:p w:rsidR="00724F74" w:rsidRPr="00C42D64" w:rsidRDefault="00724F7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423D13">
              <w:rPr>
                <w:sz w:val="22"/>
                <w:szCs w:val="22"/>
                <w:lang w:val="lv-LV"/>
              </w:rPr>
              <w:t>u ielā 1 – 322. telpā, plkst. 11</w:t>
            </w:r>
            <w:r w:rsidR="008778A3">
              <w:rPr>
                <w:sz w:val="22"/>
                <w:szCs w:val="22"/>
                <w:lang w:val="lv-LV"/>
              </w:rPr>
              <w:t>:2</w:t>
            </w:r>
            <w:r w:rsidRPr="00C42D64">
              <w:rPr>
                <w:sz w:val="22"/>
                <w:szCs w:val="22"/>
                <w:lang w:val="lv-LV"/>
              </w:rPr>
              <w:t xml:space="preserve">0                                                                                 </w:t>
            </w:r>
            <w:r w:rsidR="00423D13">
              <w:rPr>
                <w:sz w:val="22"/>
                <w:szCs w:val="22"/>
                <w:lang w:val="lv-LV"/>
              </w:rPr>
              <w:t>07</w:t>
            </w:r>
            <w:r w:rsidR="002F3B72">
              <w:rPr>
                <w:sz w:val="22"/>
                <w:szCs w:val="22"/>
                <w:lang w:val="lv-LV"/>
              </w:rPr>
              <w:t>.</w:t>
            </w:r>
            <w:r w:rsidR="00423D13">
              <w:rPr>
                <w:sz w:val="22"/>
                <w:szCs w:val="22"/>
                <w:lang w:val="lv-LV"/>
              </w:rPr>
              <w:t>03</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293DAA">
              <w:tc>
                <w:tcPr>
                  <w:tcW w:w="3085" w:type="dxa"/>
                </w:tcPr>
                <w:p w:rsidR="00C42D64" w:rsidRPr="00C42D64" w:rsidRDefault="00C42D64" w:rsidP="00C42D64">
                  <w:pPr>
                    <w:tabs>
                      <w:tab w:val="left" w:pos="9575"/>
                    </w:tabs>
                    <w:spacing w:before="120"/>
                    <w:jc w:val="both"/>
                    <w:rPr>
                      <w:b/>
                      <w:sz w:val="22"/>
                      <w:szCs w:val="22"/>
                    </w:rPr>
                  </w:pPr>
                  <w:r w:rsidRPr="00C42D64">
                    <w:rPr>
                      <w:b/>
                      <w:sz w:val="22"/>
                      <w:szCs w:val="22"/>
                    </w:rPr>
                    <w:t>Komisijas priekšsēdētājs:</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293DA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r w:rsidRPr="00C42D64">
                    <w:rPr>
                      <w:color w:val="000000"/>
                      <w:sz w:val="22"/>
                      <w:szCs w:val="22"/>
                    </w:rPr>
                    <w:t xml:space="preserve">Juridiskā departamenta Iepirkumu nodaļas vecākais iepirkumu speciālists </w:t>
                  </w:r>
                </w:p>
              </w:tc>
            </w:tr>
            <w:tr w:rsidR="00C42D64" w:rsidRPr="00C42D64" w:rsidTr="00293DA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r w:rsidRPr="00C42D64">
                    <w:rPr>
                      <w:b/>
                      <w:sz w:val="22"/>
                      <w:szCs w:val="22"/>
                    </w:rPr>
                    <w:t>Komisijas locekļi:</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293DA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r w:rsidRPr="00C42D64">
                    <w:rPr>
                      <w:bCs/>
                      <w:sz w:val="22"/>
                      <w:szCs w:val="22"/>
                    </w:rPr>
                    <w:t>Saimniecības departamenta direktora vietnieks</w:t>
                  </w:r>
                </w:p>
              </w:tc>
            </w:tr>
            <w:tr w:rsidR="00C42D64" w:rsidRPr="00C42D64" w:rsidTr="00293DA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r w:rsidRPr="00C42D64">
                    <w:rPr>
                      <w:bCs/>
                      <w:sz w:val="22"/>
                      <w:szCs w:val="22"/>
                    </w:rPr>
                    <w:t>Infrastruktūras attīstības departamenta projektu vadītāja</w:t>
                  </w:r>
                </w:p>
              </w:tc>
            </w:tr>
            <w:tr w:rsidR="00C42D64" w:rsidRPr="00C42D64" w:rsidTr="00293DA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vadītāja</w:t>
                  </w:r>
                </w:p>
              </w:tc>
            </w:tr>
            <w:tr w:rsidR="00C42D64" w:rsidRPr="00C42D64" w:rsidTr="00293DA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vadītājs</w:t>
                  </w:r>
                </w:p>
              </w:tc>
            </w:tr>
          </w:tbl>
          <w:p w:rsidR="00C42D64" w:rsidRPr="00C42D64" w:rsidRDefault="00C42D64" w:rsidP="00C42D64">
            <w:pPr>
              <w:jc w:val="both"/>
              <w:rPr>
                <w:sz w:val="22"/>
                <w:szCs w:val="22"/>
                <w:lang w:val="lv-LV"/>
              </w:rPr>
            </w:pPr>
          </w:p>
          <w:p w:rsidR="00C42D64" w:rsidRPr="00C42D64" w:rsidRDefault="00C42D64" w:rsidP="00C42D64">
            <w:pPr>
              <w:jc w:val="both"/>
              <w:rPr>
                <w:sz w:val="22"/>
                <w:szCs w:val="22"/>
                <w:lang w:val="lv-LV"/>
              </w:rPr>
            </w:pPr>
            <w:r w:rsidRPr="00C42D64">
              <w:rPr>
                <w:sz w:val="22"/>
                <w:szCs w:val="22"/>
                <w:lang w:val="lv-LV"/>
              </w:rPr>
              <w:t xml:space="preserve">Komisija izveidota ar RTU finanšu prorektora I. Eriņa </w:t>
            </w:r>
            <w:r w:rsidRPr="00C42D64">
              <w:rPr>
                <w:sz w:val="22"/>
                <w:szCs w:val="22"/>
              </w:rPr>
              <w:t>201</w:t>
            </w:r>
            <w:r w:rsidR="00D967DD">
              <w:rPr>
                <w:sz w:val="22"/>
                <w:szCs w:val="22"/>
              </w:rPr>
              <w:t>8</w:t>
            </w:r>
            <w:r w:rsidRPr="00C42D64">
              <w:rPr>
                <w:sz w:val="22"/>
                <w:szCs w:val="22"/>
              </w:rPr>
              <w:t>. gada 2</w:t>
            </w:r>
            <w:r w:rsidR="00D967DD">
              <w:rPr>
                <w:sz w:val="22"/>
                <w:szCs w:val="22"/>
              </w:rPr>
              <w:t>2</w:t>
            </w:r>
            <w:r w:rsidRPr="00C42D64">
              <w:rPr>
                <w:sz w:val="22"/>
                <w:szCs w:val="22"/>
              </w:rPr>
              <w:t xml:space="preserve">. </w:t>
            </w:r>
            <w:r w:rsidR="00D967DD">
              <w:rPr>
                <w:sz w:val="22"/>
                <w:szCs w:val="22"/>
              </w:rPr>
              <w:t>janvāra</w:t>
            </w:r>
            <w:r w:rsidR="002F3B72">
              <w:rPr>
                <w:sz w:val="22"/>
                <w:szCs w:val="22"/>
              </w:rPr>
              <w:t xml:space="preserve"> rīkojumu Nr. 03000-1.2/</w:t>
            </w:r>
            <w:r w:rsidR="00D967DD">
              <w:rPr>
                <w:sz w:val="22"/>
                <w:szCs w:val="22"/>
              </w:rPr>
              <w:t>9</w:t>
            </w:r>
            <w:r w:rsidRPr="00C42D64">
              <w:rPr>
                <w:sz w:val="22"/>
                <w:szCs w:val="22"/>
                <w:lang w:val="lv-LV"/>
              </w:rPr>
              <w:t>.</w:t>
            </w: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Default="00CA4AC5" w:rsidP="00CA4AC5">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sidR="00423D13">
              <w:rPr>
                <w:sz w:val="22"/>
                <w:szCs w:val="22"/>
                <w:lang w:val="lv-LV"/>
              </w:rPr>
              <w:t>02.03.2018</w:t>
            </w:r>
            <w:r w:rsidR="00D83A36">
              <w:rPr>
                <w:sz w:val="22"/>
                <w:szCs w:val="22"/>
                <w:lang w:val="lv-LV"/>
              </w:rPr>
              <w:t xml:space="preserve">. </w:t>
            </w:r>
            <w:r>
              <w:rPr>
                <w:sz w:val="22"/>
                <w:szCs w:val="22"/>
                <w:lang w:val="lv-LV"/>
              </w:rPr>
              <w:t>ir saņemti</w:t>
            </w:r>
            <w:r w:rsidRPr="00F4006D">
              <w:rPr>
                <w:sz w:val="22"/>
                <w:szCs w:val="22"/>
                <w:lang w:val="lv-LV"/>
              </w:rPr>
              <w:t xml:space="preserve"> </w:t>
            </w:r>
            <w:r w:rsidR="00D83A36">
              <w:rPr>
                <w:sz w:val="22"/>
                <w:szCs w:val="22"/>
                <w:lang w:val="lv-LV"/>
              </w:rPr>
              <w:t>jautājumi no potenciāl</w:t>
            </w:r>
            <w:r w:rsidR="00423D13">
              <w:rPr>
                <w:sz w:val="22"/>
                <w:szCs w:val="22"/>
                <w:lang w:val="lv-LV"/>
              </w:rPr>
              <w:t xml:space="preserve">ā </w:t>
            </w:r>
            <w:r w:rsidR="00D83A36">
              <w:rPr>
                <w:sz w:val="22"/>
                <w:szCs w:val="22"/>
                <w:lang w:val="lv-LV"/>
              </w:rPr>
              <w:t>piegādātāj</w:t>
            </w:r>
            <w:r w:rsidR="00423D13">
              <w:rPr>
                <w:sz w:val="22"/>
                <w:szCs w:val="22"/>
                <w:lang w:val="lv-LV"/>
              </w:rPr>
              <w:t>a</w:t>
            </w:r>
            <w:r>
              <w:rPr>
                <w:sz w:val="22"/>
                <w:szCs w:val="22"/>
                <w:lang w:val="lv-LV"/>
              </w:rPr>
              <w:t xml:space="preserve"> par konkursa nolikumu.</w:t>
            </w:r>
          </w:p>
          <w:p w:rsidR="00CA4AC5" w:rsidRDefault="00CA4AC5" w:rsidP="00CA4AC5">
            <w:pPr>
              <w:pStyle w:val="ListParagraph"/>
              <w:numPr>
                <w:ilvl w:val="1"/>
                <w:numId w:val="33"/>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00D83A36">
              <w:rPr>
                <w:b/>
                <w:sz w:val="22"/>
                <w:szCs w:val="22"/>
                <w:lang w:val="lv-LV"/>
              </w:rPr>
              <w:t>Nr.</w:t>
            </w:r>
            <w:r w:rsidR="00423D13">
              <w:rPr>
                <w:b/>
                <w:sz w:val="22"/>
                <w:szCs w:val="22"/>
                <w:lang w:val="lv-LV"/>
              </w:rPr>
              <w:t>5</w:t>
            </w:r>
            <w:r>
              <w:rPr>
                <w:sz w:val="22"/>
                <w:szCs w:val="22"/>
                <w:lang w:val="lv-LV"/>
              </w:rPr>
              <w:t>:</w:t>
            </w:r>
          </w:p>
          <w:p w:rsidR="00423D13" w:rsidRDefault="00423D13"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423D13" w:rsidRPr="00423D13" w:rsidRDefault="00423D13" w:rsidP="00423D13">
            <w:pPr>
              <w:spacing w:line="276" w:lineRule="auto"/>
              <w:jc w:val="both"/>
              <w:rPr>
                <w:sz w:val="22"/>
                <w:szCs w:val="22"/>
                <w:lang w:val="lv-LV"/>
              </w:rPr>
            </w:pPr>
            <w:r w:rsidRPr="00423D13">
              <w:rPr>
                <w:sz w:val="22"/>
                <w:szCs w:val="22"/>
                <w:lang w:val="lv-LV"/>
              </w:rPr>
              <w:t>Tehniskā specifikācija sadaļā 2.2 nosaka, ka :</w:t>
            </w:r>
          </w:p>
          <w:p w:rsidR="00423D13" w:rsidRPr="00423D13" w:rsidRDefault="00423D13" w:rsidP="00423D13">
            <w:pPr>
              <w:spacing w:line="276" w:lineRule="auto"/>
              <w:jc w:val="both"/>
              <w:rPr>
                <w:i/>
                <w:sz w:val="22"/>
                <w:szCs w:val="22"/>
                <w:lang w:val="lv-LV"/>
              </w:rPr>
            </w:pPr>
            <w:r w:rsidRPr="00423D13">
              <w:rPr>
                <w:i/>
                <w:sz w:val="22"/>
                <w:szCs w:val="22"/>
                <w:lang w:val="lv-LV"/>
              </w:rPr>
              <w:t>IZPILDĪTĀJA ATĻAUJAS, LICENCES UN SKAŅOJUMI</w:t>
            </w:r>
          </w:p>
          <w:p w:rsidR="00423D13" w:rsidRPr="00423D13" w:rsidRDefault="00423D13" w:rsidP="00423D13">
            <w:pPr>
              <w:spacing w:line="276" w:lineRule="auto"/>
              <w:jc w:val="both"/>
              <w:rPr>
                <w:i/>
                <w:sz w:val="22"/>
                <w:szCs w:val="22"/>
                <w:lang w:val="lv-LV"/>
              </w:rPr>
            </w:pPr>
            <w:r w:rsidRPr="00423D13">
              <w:rPr>
                <w:i/>
                <w:sz w:val="22"/>
                <w:szCs w:val="22"/>
                <w:lang w:val="lv-LV"/>
              </w:rPr>
              <w:t>Izpildītājs ir atbildīgs par visu LR likumdošanā noteikto atļauju, licenču un saskaņojumu saņemšanu pirms jebkuru Līgumā noteikto aktivitāšu uzsākšanas.</w:t>
            </w:r>
          </w:p>
          <w:p w:rsidR="00423D13" w:rsidRPr="00423D13" w:rsidRDefault="00423D13" w:rsidP="00423D13">
            <w:pPr>
              <w:spacing w:line="276" w:lineRule="auto"/>
              <w:jc w:val="both"/>
              <w:rPr>
                <w:i/>
                <w:sz w:val="22"/>
                <w:szCs w:val="22"/>
                <w:lang w:val="lv-LV"/>
              </w:rPr>
            </w:pPr>
            <w:r w:rsidRPr="00423D13">
              <w:rPr>
                <w:i/>
                <w:sz w:val="22"/>
                <w:szCs w:val="22"/>
                <w:lang w:val="lv-LV"/>
              </w:rPr>
              <w:t>Izpildītājam jāsedz visas reālās izmaksas un nodevas, kas saistītas ar šo atļauju, licenču un saskaņojumu saņemšanu.</w:t>
            </w:r>
          </w:p>
          <w:p w:rsidR="00423D13" w:rsidRPr="00423D13" w:rsidRDefault="00423D13" w:rsidP="00423D13">
            <w:pPr>
              <w:spacing w:line="276" w:lineRule="auto"/>
              <w:jc w:val="both"/>
              <w:rPr>
                <w:sz w:val="22"/>
                <w:szCs w:val="22"/>
                <w:lang w:val="lv-LV"/>
              </w:rPr>
            </w:pPr>
            <w:r w:rsidRPr="00423D13">
              <w:rPr>
                <w:sz w:val="22"/>
                <w:szCs w:val="22"/>
                <w:lang w:val="lv-LV"/>
              </w:rPr>
              <w:t>Lūdzam apstiprināt, ka šis nosacījums neattiecas uz infrastruktūras nodevu , kuras apmēru un maksāšanas kārtību nosaka Rīgas domes saistošie noteikumi Nr.211 no 2013.g. 19.februāra.</w:t>
            </w:r>
          </w:p>
          <w:p w:rsidR="00CA4AC5" w:rsidRPr="00CA4AC5" w:rsidRDefault="00CA4AC5" w:rsidP="00CA4AC5">
            <w:pPr>
              <w:spacing w:line="276" w:lineRule="auto"/>
              <w:jc w:val="both"/>
              <w:rPr>
                <w:b/>
                <w:sz w:val="22"/>
                <w:szCs w:val="22"/>
                <w:lang w:val="lv-LV"/>
              </w:rPr>
            </w:pPr>
            <w:r w:rsidRPr="00CA4AC5">
              <w:rPr>
                <w:b/>
                <w:sz w:val="22"/>
                <w:szCs w:val="22"/>
                <w:lang w:val="lv-LV"/>
              </w:rPr>
              <w:t>Atbilde Nr.1</w:t>
            </w:r>
          </w:p>
          <w:p w:rsidR="00423D13" w:rsidRDefault="00423D13" w:rsidP="00CA4AC5">
            <w:pPr>
              <w:spacing w:line="276" w:lineRule="auto"/>
              <w:jc w:val="both"/>
              <w:rPr>
                <w:b/>
                <w:sz w:val="22"/>
                <w:szCs w:val="22"/>
                <w:lang w:val="lv-LV"/>
              </w:rPr>
            </w:pPr>
            <w:r w:rsidRPr="00423D13">
              <w:rPr>
                <w:sz w:val="22"/>
                <w:szCs w:val="22"/>
                <w:lang w:val="lv-LV"/>
              </w:rPr>
              <w:t>Apstiprinām, ka šis nosacījums neatt</w:t>
            </w:r>
            <w:r>
              <w:rPr>
                <w:sz w:val="22"/>
                <w:szCs w:val="22"/>
                <w:lang w:val="lv-LV"/>
              </w:rPr>
              <w:t>iecas uz infrastruktūras nodevu un</w:t>
            </w:r>
            <w:r w:rsidRPr="00423D13">
              <w:rPr>
                <w:sz w:val="22"/>
                <w:szCs w:val="22"/>
                <w:lang w:val="lv-LV"/>
              </w:rPr>
              <w:t xml:space="preserve"> Pretendentam tā nav jāiekļauj savā piedāvājumā, </w:t>
            </w:r>
            <w:r>
              <w:rPr>
                <w:sz w:val="22"/>
                <w:szCs w:val="22"/>
                <w:lang w:val="lv-LV"/>
              </w:rPr>
              <w:t xml:space="preserve">jo </w:t>
            </w:r>
            <w:r w:rsidRPr="00423D13">
              <w:rPr>
                <w:sz w:val="22"/>
                <w:szCs w:val="22"/>
                <w:lang w:val="lv-LV"/>
              </w:rPr>
              <w:t xml:space="preserve">to apmaksās Pasūtītājs. </w:t>
            </w:r>
          </w:p>
          <w:p w:rsidR="00423D13" w:rsidRDefault="00423D13" w:rsidP="00CA4AC5">
            <w:pPr>
              <w:spacing w:line="276" w:lineRule="auto"/>
              <w:jc w:val="both"/>
              <w:rPr>
                <w:b/>
                <w:sz w:val="22"/>
                <w:szCs w:val="22"/>
                <w:lang w:val="lv-LV"/>
              </w:rPr>
            </w:pPr>
          </w:p>
          <w:p w:rsidR="00423D13" w:rsidRDefault="00423D13" w:rsidP="00CA4AC5">
            <w:pPr>
              <w:spacing w:line="276" w:lineRule="auto"/>
              <w:jc w:val="both"/>
              <w:rPr>
                <w:b/>
                <w:sz w:val="22"/>
                <w:szCs w:val="22"/>
                <w:lang w:val="lv-LV"/>
              </w:rPr>
            </w:pPr>
          </w:p>
          <w:p w:rsidR="00423D13" w:rsidRDefault="00423D13"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lastRenderedPageBreak/>
              <w:t>Jautājums Nr.2</w:t>
            </w:r>
          </w:p>
          <w:p w:rsidR="00423D13" w:rsidRPr="00423D13" w:rsidRDefault="00423D13" w:rsidP="00423D13">
            <w:pPr>
              <w:spacing w:line="276" w:lineRule="auto"/>
              <w:jc w:val="both"/>
              <w:rPr>
                <w:sz w:val="22"/>
                <w:szCs w:val="22"/>
                <w:lang w:val="lv-LV"/>
              </w:rPr>
            </w:pPr>
            <w:r w:rsidRPr="00423D13">
              <w:rPr>
                <w:sz w:val="22"/>
                <w:szCs w:val="22"/>
                <w:lang w:val="lv-LV"/>
              </w:rPr>
              <w:t xml:space="preserve">Lūdzam precizēt specifikācijā virpuļdurvju skaitu, jo norāde par centrālām durvīm ir nekonkrēta un neļauj objektīvi noteikt faktiski nepieciešamo šī durvju tipa daudzumu. </w:t>
            </w:r>
            <w:r w:rsidRPr="00423D13">
              <w:rPr>
                <w:bCs/>
                <w:i/>
                <w:iCs/>
                <w:sz w:val="22"/>
                <w:szCs w:val="22"/>
                <w:u w:val="single"/>
                <w:lang w:val="lv-LV"/>
              </w:rPr>
              <w:t>Centrālās ieejas durvis</w:t>
            </w:r>
            <w:r w:rsidRPr="00423D13">
              <w:rPr>
                <w:bCs/>
                <w:i/>
                <w:iCs/>
                <w:sz w:val="22"/>
                <w:szCs w:val="22"/>
                <w:lang w:val="lv-LV"/>
              </w:rPr>
              <w:t xml:space="preserve"> - stiklotas alumīnija profilu automātiskas virpuļdurvis.</w:t>
            </w:r>
          </w:p>
          <w:p w:rsidR="00CA4AC5" w:rsidRPr="00CA4AC5" w:rsidRDefault="00CA4AC5" w:rsidP="00CA4AC5">
            <w:pPr>
              <w:spacing w:line="276" w:lineRule="auto"/>
              <w:jc w:val="both"/>
              <w:rPr>
                <w:b/>
                <w:sz w:val="22"/>
                <w:szCs w:val="22"/>
                <w:lang w:val="lv-LV"/>
              </w:rPr>
            </w:pPr>
            <w:r w:rsidRPr="00CA4AC5">
              <w:rPr>
                <w:b/>
                <w:sz w:val="22"/>
                <w:szCs w:val="22"/>
                <w:lang w:val="lv-LV"/>
              </w:rPr>
              <w:t>Atbilde Nr.2</w:t>
            </w:r>
          </w:p>
          <w:p w:rsidR="00423D13" w:rsidRDefault="00423D13" w:rsidP="00CA4AC5">
            <w:pPr>
              <w:spacing w:line="276" w:lineRule="auto"/>
              <w:jc w:val="both"/>
              <w:rPr>
                <w:sz w:val="22"/>
                <w:szCs w:val="22"/>
                <w:lang w:val="lv-LV"/>
              </w:rPr>
            </w:pPr>
            <w:r w:rsidRPr="00423D13">
              <w:rPr>
                <w:sz w:val="22"/>
                <w:szCs w:val="22"/>
                <w:lang w:val="lv-LV"/>
              </w:rPr>
              <w:t>Virpuļdurvju skaits atbilstoši meta projekta grafiskajai daļai – 1 gab.</w:t>
            </w:r>
          </w:p>
          <w:p w:rsidR="00423D13" w:rsidRDefault="00423D13" w:rsidP="00CA4AC5">
            <w:pPr>
              <w:spacing w:line="276" w:lineRule="auto"/>
              <w:jc w:val="both"/>
              <w:rPr>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Nr.3</w:t>
            </w:r>
          </w:p>
          <w:p w:rsidR="00423D13" w:rsidRPr="00423D13" w:rsidRDefault="00423D13" w:rsidP="00423D13">
            <w:pPr>
              <w:spacing w:line="276" w:lineRule="auto"/>
              <w:jc w:val="both"/>
              <w:rPr>
                <w:sz w:val="22"/>
                <w:szCs w:val="22"/>
                <w:lang w:val="lv-LV"/>
              </w:rPr>
            </w:pPr>
            <w:r w:rsidRPr="00423D13">
              <w:rPr>
                <w:sz w:val="22"/>
                <w:szCs w:val="22"/>
                <w:lang w:val="lv-LV"/>
              </w:rPr>
              <w:t>Lūdzam precizēt norādi par eksponētiem monolītā dzelzsbetona pārsegumiem citās ēkās vietās, jo ir nekonkrēta un neļauj objektīvi noteikt faktisko nepieciešamo konkrēto darbu daudzumu:</w:t>
            </w:r>
          </w:p>
          <w:p w:rsidR="00423D13" w:rsidRPr="00423D13" w:rsidRDefault="00423D13" w:rsidP="00423D13">
            <w:pPr>
              <w:spacing w:line="276" w:lineRule="auto"/>
              <w:jc w:val="both"/>
              <w:rPr>
                <w:i/>
                <w:sz w:val="22"/>
                <w:szCs w:val="22"/>
                <w:u w:val="single"/>
                <w:lang w:val="lv-LV"/>
              </w:rPr>
            </w:pPr>
            <w:r w:rsidRPr="00423D13">
              <w:rPr>
                <w:i/>
                <w:sz w:val="22"/>
                <w:szCs w:val="22"/>
                <w:u w:val="single"/>
                <w:lang w:val="lv-LV"/>
              </w:rPr>
              <w:t>Tehniskās telpas un eksponēti/redzami dz/b pārsegumi citās ēkas vietās.</w:t>
            </w:r>
          </w:p>
          <w:p w:rsidR="00423D13" w:rsidRPr="00423D13" w:rsidRDefault="00423D13" w:rsidP="00423D13">
            <w:pPr>
              <w:spacing w:line="276" w:lineRule="auto"/>
              <w:jc w:val="both"/>
              <w:rPr>
                <w:i/>
                <w:sz w:val="22"/>
                <w:szCs w:val="22"/>
                <w:lang w:val="lv-LV"/>
              </w:rPr>
            </w:pPr>
            <w:r w:rsidRPr="00423D13">
              <w:rPr>
                <w:i/>
                <w:sz w:val="22"/>
                <w:szCs w:val="22"/>
                <w:lang w:val="lv-LV"/>
              </w:rPr>
              <w:t>Paredzēt betona pārseguma tīrīšanu, vizuālo bojājumu novēršanu, pagaidu stiprinājumu caurumu un  dībeļu aiztaisīšanu, virsmas pārklāšanu ar bezkrāsas caurspīdīgu pretputekļu pārklājumu</w:t>
            </w:r>
          </w:p>
          <w:p w:rsidR="00423D13" w:rsidRPr="00423D13" w:rsidRDefault="00423D13" w:rsidP="00423D13">
            <w:pPr>
              <w:spacing w:line="276" w:lineRule="auto"/>
              <w:jc w:val="both"/>
              <w:rPr>
                <w:sz w:val="22"/>
                <w:szCs w:val="22"/>
                <w:lang w:val="lv-LV"/>
              </w:rPr>
            </w:pPr>
            <w:r w:rsidRPr="00423D13">
              <w:rPr>
                <w:sz w:val="22"/>
                <w:szCs w:val="22"/>
                <w:lang w:val="lv-LV"/>
              </w:rPr>
              <w:t>T.i. lūdzam precizēt konkrētās telpu grupas saskaņā ar metu, kurās ir jāparedz šis pārseguma  un tā apdares veids.</w:t>
            </w:r>
          </w:p>
          <w:p w:rsidR="00CA4AC5" w:rsidRPr="00CA4AC5" w:rsidRDefault="00CA4AC5" w:rsidP="00CA4AC5">
            <w:pPr>
              <w:spacing w:line="276" w:lineRule="auto"/>
              <w:jc w:val="both"/>
              <w:rPr>
                <w:b/>
                <w:sz w:val="22"/>
                <w:szCs w:val="22"/>
                <w:lang w:val="lv-LV"/>
              </w:rPr>
            </w:pPr>
            <w:r w:rsidRPr="00CA4AC5">
              <w:rPr>
                <w:b/>
                <w:sz w:val="22"/>
                <w:szCs w:val="22"/>
                <w:lang w:val="lv-LV"/>
              </w:rPr>
              <w:t>Atbilde Nr.3</w:t>
            </w:r>
          </w:p>
          <w:p w:rsidR="00423D13" w:rsidRDefault="00423D13" w:rsidP="00CA4AC5">
            <w:pPr>
              <w:spacing w:line="276" w:lineRule="auto"/>
              <w:jc w:val="both"/>
              <w:rPr>
                <w:sz w:val="22"/>
                <w:szCs w:val="22"/>
                <w:lang w:val="lv-LV"/>
              </w:rPr>
            </w:pPr>
            <w:r w:rsidRPr="00423D13">
              <w:rPr>
                <w:sz w:val="22"/>
                <w:szCs w:val="22"/>
                <w:lang w:val="lv-LV"/>
              </w:rPr>
              <w:t xml:space="preserve">Tehniskajā specifikācijā </w:t>
            </w:r>
            <w:r>
              <w:rPr>
                <w:sz w:val="22"/>
                <w:szCs w:val="22"/>
                <w:lang w:val="lv-LV"/>
              </w:rPr>
              <w:t>norādītā</w:t>
            </w:r>
            <w:r w:rsidRPr="00423D13">
              <w:rPr>
                <w:sz w:val="22"/>
                <w:szCs w:val="22"/>
                <w:lang w:val="lv-LV"/>
              </w:rPr>
              <w:t xml:space="preserve"> griestu apdare sadalīta telpu grupām. Precīzu atklātā betona griestu apjomu varēs noteikt tikai projektēšanas gaitā.</w:t>
            </w:r>
          </w:p>
          <w:p w:rsidR="00423D13" w:rsidRDefault="00423D13" w:rsidP="00CA4AC5">
            <w:pPr>
              <w:spacing w:line="276" w:lineRule="auto"/>
              <w:jc w:val="both"/>
              <w:rPr>
                <w:sz w:val="22"/>
                <w:szCs w:val="22"/>
                <w:lang w:val="lv-LV"/>
              </w:rPr>
            </w:pPr>
          </w:p>
          <w:p w:rsidR="00D83A36" w:rsidRDefault="00D83A36" w:rsidP="00F00C85">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423D13">
              <w:rPr>
                <w:sz w:val="22"/>
                <w:szCs w:val="22"/>
                <w:lang w:val="lv-LV"/>
              </w:rPr>
              <w:t>1</w:t>
            </w:r>
            <w:r w:rsidRPr="005400EE">
              <w:rPr>
                <w:sz w:val="22"/>
                <w:szCs w:val="22"/>
                <w:lang w:val="lv-LV"/>
              </w:rPr>
              <w:t>:</w:t>
            </w:r>
            <w:r w:rsidR="008778A3">
              <w:rPr>
                <w:sz w:val="22"/>
                <w:szCs w:val="22"/>
                <w:lang w:val="lv-LV"/>
              </w:rPr>
              <w:t>3</w:t>
            </w:r>
            <w:bookmarkStart w:id="0" w:name="_GoBack"/>
            <w:bookmarkEnd w:id="0"/>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Pr="00D955C2" w:rsidRDefault="00CA4AC5" w:rsidP="00D955C2">
            <w:pPr>
              <w:pStyle w:val="ListParagraph"/>
              <w:keepNext/>
              <w:keepLines/>
              <w:numPr>
                <w:ilvl w:val="0"/>
                <w:numId w:val="44"/>
              </w:numPr>
              <w:rPr>
                <w:sz w:val="20"/>
                <w:szCs w:val="20"/>
                <w:lang w:val="lv-LV"/>
              </w:rPr>
            </w:pPr>
            <w:r w:rsidRPr="00D955C2">
              <w:rPr>
                <w:sz w:val="20"/>
                <w:szCs w:val="20"/>
                <w:lang w:val="lv-LV"/>
              </w:rPr>
              <w:t xml:space="preserve">ieinteresētā piegādātāja 2018.gada </w:t>
            </w:r>
            <w:r w:rsidR="008778A3">
              <w:rPr>
                <w:sz w:val="20"/>
                <w:szCs w:val="20"/>
                <w:lang w:val="lv-LV"/>
              </w:rPr>
              <w:t>2</w:t>
            </w:r>
            <w:r w:rsidRPr="00D955C2">
              <w:rPr>
                <w:sz w:val="20"/>
                <w:szCs w:val="20"/>
                <w:lang w:val="lv-LV"/>
              </w:rPr>
              <w:t>.</w:t>
            </w:r>
            <w:r w:rsidR="008778A3">
              <w:rPr>
                <w:sz w:val="20"/>
                <w:szCs w:val="20"/>
                <w:lang w:val="lv-LV"/>
              </w:rPr>
              <w:t>marta</w:t>
            </w:r>
            <w:r w:rsidRPr="00D955C2">
              <w:rPr>
                <w:sz w:val="20"/>
                <w:szCs w:val="20"/>
                <w:lang w:val="lv-LV"/>
              </w:rPr>
              <w:t xml:space="preserve"> vēstules </w:t>
            </w:r>
            <w:r w:rsidR="008778A3">
              <w:rPr>
                <w:sz w:val="20"/>
                <w:szCs w:val="20"/>
                <w:lang w:val="lv-LV"/>
              </w:rPr>
              <w:t>kopija.</w:t>
            </w:r>
          </w:p>
          <w:p w:rsidR="00D955C2" w:rsidRPr="00D955C2" w:rsidRDefault="00D955C2" w:rsidP="00D955C2">
            <w:pPr>
              <w:pStyle w:val="ListParagraph"/>
              <w:keepNext/>
              <w:keepLines/>
              <w:rPr>
                <w:sz w:val="20"/>
                <w:szCs w:val="20"/>
                <w:lang w:val="lv-LV"/>
              </w:rPr>
            </w:pP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724F74">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724F74">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w:t>
                  </w:r>
                  <w:r w:rsidR="00724F74">
                    <w:rPr>
                      <w:sz w:val="22"/>
                      <w:szCs w:val="22"/>
                      <w:lang w:val="lv-LV"/>
                    </w:rPr>
                    <w:t xml:space="preserve"> </w:t>
                  </w:r>
                  <w:r>
                    <w:rPr>
                      <w:sz w:val="22"/>
                      <w:szCs w:val="22"/>
                      <w:lang w:val="lv-LV"/>
                    </w:rPr>
                    <w:t>Putniņa</w:t>
                  </w:r>
                  <w:r w:rsidR="00012AB3">
                    <w:rPr>
                      <w:sz w:val="22"/>
                      <w:szCs w:val="22"/>
                      <w:lang w:val="lv-LV"/>
                    </w:rPr>
                    <w:t xml:space="preserve">              _______________J.</w:t>
                  </w:r>
                  <w:r w:rsidR="00724F74">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724F74">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AA" w:rsidRDefault="00293DAA" w:rsidP="004F6DA6">
      <w:r>
        <w:separator/>
      </w:r>
    </w:p>
  </w:endnote>
  <w:endnote w:type="continuationSeparator" w:id="0">
    <w:p w:rsidR="00293DAA" w:rsidRDefault="00293DAA"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293DAA" w:rsidRDefault="00293DAA">
        <w:pPr>
          <w:pStyle w:val="Footer"/>
          <w:jc w:val="right"/>
        </w:pPr>
        <w:r>
          <w:fldChar w:fldCharType="begin"/>
        </w:r>
        <w:r>
          <w:instrText xml:space="preserve"> PAGE   \* MERGEFORMAT </w:instrText>
        </w:r>
        <w:r>
          <w:fldChar w:fldCharType="separate"/>
        </w:r>
        <w:r w:rsidR="008778A3">
          <w:rPr>
            <w:noProof/>
          </w:rPr>
          <w:t>2</w:t>
        </w:r>
        <w:r>
          <w:rPr>
            <w:noProof/>
          </w:rPr>
          <w:fldChar w:fldCharType="end"/>
        </w:r>
      </w:p>
    </w:sdtContent>
  </w:sdt>
  <w:p w:rsidR="00293DAA" w:rsidRDefault="0029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AA" w:rsidRDefault="00293DAA" w:rsidP="004F6DA6">
      <w:r>
        <w:separator/>
      </w:r>
    </w:p>
  </w:footnote>
  <w:footnote w:type="continuationSeparator" w:id="0">
    <w:p w:rsidR="00293DAA" w:rsidRDefault="00293DAA"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AA" w:rsidRDefault="00293DAA">
    <w:pPr>
      <w:pStyle w:val="Header"/>
      <w:jc w:val="right"/>
    </w:pPr>
  </w:p>
  <w:p w:rsidR="00293DAA" w:rsidRDefault="00293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CCE496B"/>
    <w:multiLevelType w:val="hybridMultilevel"/>
    <w:tmpl w:val="3954C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C2E229D"/>
    <w:multiLevelType w:val="hybridMultilevel"/>
    <w:tmpl w:val="C944C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1"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3"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8"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8"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4" w15:restartNumberingAfterBreak="0">
    <w:nsid w:val="7F5F4242"/>
    <w:multiLevelType w:val="multilevel"/>
    <w:tmpl w:val="4DC2986E"/>
    <w:lvl w:ilvl="0">
      <w:start w:val="17"/>
      <w:numFmt w:val="decimal"/>
      <w:lvlText w:val="%1."/>
      <w:lvlJc w:val="left"/>
      <w:pPr>
        <w:ind w:left="435" w:hanging="435"/>
      </w:pPr>
      <w:rPr>
        <w:rFonts w:hint="default"/>
        <w:b/>
        <w:color w:val="000000"/>
      </w:rPr>
    </w:lvl>
    <w:lvl w:ilvl="1">
      <w:start w:val="2"/>
      <w:numFmt w:val="decimal"/>
      <w:lvlText w:val="%1.%2."/>
      <w:lvlJc w:val="left"/>
      <w:pPr>
        <w:ind w:left="435" w:hanging="43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28"/>
  </w:num>
  <w:num w:numId="2">
    <w:abstractNumId w:val="33"/>
  </w:num>
  <w:num w:numId="3">
    <w:abstractNumId w:val="29"/>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6"/>
  </w:num>
  <w:num w:numId="7">
    <w:abstractNumId w:val="24"/>
  </w:num>
  <w:num w:numId="8">
    <w:abstractNumId w:val="39"/>
  </w:num>
  <w:num w:numId="9">
    <w:abstractNumId w:val="13"/>
  </w:num>
  <w:num w:numId="10">
    <w:abstractNumId w:val="35"/>
  </w:num>
  <w:num w:numId="11">
    <w:abstractNumId w:val="7"/>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1"/>
  </w:num>
  <w:num w:numId="16">
    <w:abstractNumId w:val="11"/>
  </w:num>
  <w:num w:numId="17">
    <w:abstractNumId w:val="30"/>
  </w:num>
  <w:num w:numId="18">
    <w:abstractNumId w:val="17"/>
  </w:num>
  <w:num w:numId="19">
    <w:abstractNumId w:val="12"/>
  </w:num>
  <w:num w:numId="20">
    <w:abstractNumId w:val="25"/>
  </w:num>
  <w:num w:numId="21">
    <w:abstractNumId w:val="38"/>
  </w:num>
  <w:num w:numId="22">
    <w:abstractNumId w:val="32"/>
  </w:num>
  <w:num w:numId="23">
    <w:abstractNumId w:val="19"/>
  </w:num>
  <w:num w:numId="24">
    <w:abstractNumId w:val="21"/>
  </w:num>
  <w:num w:numId="25">
    <w:abstractNumId w:val="5"/>
  </w:num>
  <w:num w:numId="26">
    <w:abstractNumId w:val="2"/>
  </w:num>
  <w:num w:numId="27">
    <w:abstractNumId w:val="9"/>
  </w:num>
  <w:num w:numId="28">
    <w:abstractNumId w:val="1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3"/>
  </w:num>
  <w:num w:numId="32">
    <w:abstractNumId w:val="8"/>
  </w:num>
  <w:num w:numId="33">
    <w:abstractNumId w:val="3"/>
  </w:num>
  <w:num w:numId="34">
    <w:abstractNumId w:val="22"/>
  </w:num>
  <w:num w:numId="35">
    <w:abstractNumId w:val="36"/>
  </w:num>
  <w:num w:numId="36">
    <w:abstractNumId w:val="37"/>
  </w:num>
  <w:num w:numId="37">
    <w:abstractNumId w:val="4"/>
  </w:num>
  <w:num w:numId="38">
    <w:abstractNumId w:val="43"/>
  </w:num>
  <w:num w:numId="39">
    <w:abstractNumId w:val="27"/>
  </w:num>
  <w:num w:numId="40">
    <w:abstractNumId w:val="20"/>
  </w:num>
  <w:num w:numId="41">
    <w:abstractNumId w:val="15"/>
  </w:num>
  <w:num w:numId="42">
    <w:abstractNumId w:val="6"/>
  </w:num>
  <w:num w:numId="43">
    <w:abstractNumId w:val="44"/>
  </w:num>
  <w:num w:numId="44">
    <w:abstractNumId w:val="1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8A4"/>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3DAA"/>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0282"/>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5ABB"/>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266A"/>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06EA"/>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13"/>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6B1"/>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C6C"/>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64"/>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4F74"/>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8A3"/>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6FA"/>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4954"/>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3A3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5C2"/>
    <w:rsid w:val="00D9591C"/>
    <w:rsid w:val="00D962BC"/>
    <w:rsid w:val="00D967DD"/>
    <w:rsid w:val="00D971D1"/>
    <w:rsid w:val="00DA06B2"/>
    <w:rsid w:val="00DA10BB"/>
    <w:rsid w:val="00DA1473"/>
    <w:rsid w:val="00DA1496"/>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90E7"/>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2205</Words>
  <Characters>1257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2</cp:revision>
  <cp:lastPrinted>2018-02-27T13:56:00Z</cp:lastPrinted>
  <dcterms:created xsi:type="dcterms:W3CDTF">2018-03-07T09:43:00Z</dcterms:created>
  <dcterms:modified xsi:type="dcterms:W3CDTF">2018-03-07T09:43:00Z</dcterms:modified>
</cp:coreProperties>
</file>