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1D" w:rsidRPr="000C0707" w:rsidRDefault="00D3291D" w:rsidP="00D3291D">
      <w:pPr>
        <w:ind w:right="-170"/>
        <w:jc w:val="center"/>
        <w:rPr>
          <w:sz w:val="22"/>
          <w:szCs w:val="22"/>
          <w:lang w:val="lv-LV"/>
        </w:rPr>
      </w:pPr>
      <w:r w:rsidRPr="000C0707">
        <w:rPr>
          <w:sz w:val="22"/>
          <w:szCs w:val="22"/>
          <w:lang w:val="lv-LV"/>
        </w:rPr>
        <w:t>Atklāts konkurss</w:t>
      </w:r>
    </w:p>
    <w:p w:rsidR="00D3291D" w:rsidRPr="000C0707" w:rsidRDefault="00D3291D" w:rsidP="00D3291D">
      <w:pPr>
        <w:ind w:right="-170"/>
        <w:jc w:val="center"/>
        <w:rPr>
          <w:b/>
          <w:bCs/>
          <w:sz w:val="22"/>
          <w:szCs w:val="22"/>
          <w:lang w:val="lv-LV"/>
        </w:rPr>
      </w:pPr>
      <w:r w:rsidRPr="000C0707">
        <w:rPr>
          <w:b/>
          <w:bCs/>
          <w:sz w:val="22"/>
          <w:szCs w:val="22"/>
          <w:lang w:val="lv-LV"/>
        </w:rPr>
        <w:t xml:space="preserve"> “</w:t>
      </w:r>
      <w:r w:rsidRPr="00F732AA">
        <w:rPr>
          <w:b/>
          <w:bCs/>
          <w:sz w:val="22"/>
          <w:szCs w:val="22"/>
          <w:lang w:val="lv-LV"/>
        </w:rPr>
        <w:t xml:space="preserve">Zinātniskās aparatūras un aprīkojuma iegāde RTU </w:t>
      </w:r>
      <w:proofErr w:type="spellStart"/>
      <w:r w:rsidRPr="00F732AA">
        <w:rPr>
          <w:b/>
          <w:bCs/>
          <w:sz w:val="22"/>
          <w:szCs w:val="22"/>
          <w:lang w:val="lv-LV"/>
        </w:rPr>
        <w:t>Mašīnzinību</w:t>
      </w:r>
      <w:proofErr w:type="spellEnd"/>
      <w:r w:rsidRPr="00F732AA">
        <w:rPr>
          <w:b/>
          <w:bCs/>
          <w:sz w:val="22"/>
          <w:szCs w:val="22"/>
          <w:lang w:val="lv-LV"/>
        </w:rPr>
        <w:t>, transporta un aeronautikas fakultātei: spektrometrs</w:t>
      </w:r>
      <w:r w:rsidRPr="000C0707">
        <w:rPr>
          <w:b/>
          <w:bCs/>
          <w:sz w:val="22"/>
          <w:szCs w:val="22"/>
          <w:lang w:val="lv-LV"/>
        </w:rPr>
        <w:t>”</w:t>
      </w:r>
    </w:p>
    <w:p w:rsidR="00D3291D" w:rsidRPr="000C0707" w:rsidRDefault="00D3291D" w:rsidP="00D3291D">
      <w:pPr>
        <w:ind w:right="-170"/>
        <w:jc w:val="center"/>
        <w:rPr>
          <w:sz w:val="22"/>
          <w:szCs w:val="22"/>
          <w:lang w:val="lv-LV"/>
        </w:rPr>
      </w:pPr>
      <w:r w:rsidRPr="000C0707">
        <w:rPr>
          <w:sz w:val="22"/>
          <w:szCs w:val="22"/>
          <w:lang w:val="lv-LV"/>
        </w:rPr>
        <w:t xml:space="preserve"> (i</w:t>
      </w:r>
      <w:r>
        <w:rPr>
          <w:sz w:val="22"/>
          <w:szCs w:val="22"/>
          <w:lang w:val="lv-LV"/>
        </w:rPr>
        <w:t>dentifikācijas Nr. RTU – 2018/34</w:t>
      </w:r>
      <w:r w:rsidRPr="000C0707">
        <w:rPr>
          <w:sz w:val="22"/>
          <w:szCs w:val="22"/>
          <w:lang w:val="lv-LV"/>
        </w:rPr>
        <w:t>)</w:t>
      </w:r>
    </w:p>
    <w:p w:rsidR="00D3291D" w:rsidRPr="000C0707" w:rsidRDefault="00363607" w:rsidP="00D3291D">
      <w:pPr>
        <w:jc w:val="center"/>
        <w:rPr>
          <w:sz w:val="22"/>
          <w:szCs w:val="22"/>
          <w:lang w:val="lv-LV"/>
        </w:rPr>
      </w:pPr>
      <w:r>
        <w:rPr>
          <w:sz w:val="22"/>
          <w:szCs w:val="22"/>
          <w:lang w:val="lv-LV"/>
        </w:rPr>
        <w:t>Protokols Nr.3</w:t>
      </w:r>
    </w:p>
    <w:p w:rsidR="00D3291D" w:rsidRPr="000C0707" w:rsidRDefault="00D3291D" w:rsidP="00D3291D">
      <w:pPr>
        <w:jc w:val="center"/>
        <w:rPr>
          <w:sz w:val="22"/>
          <w:szCs w:val="22"/>
          <w:lang w:val="lv-LV"/>
        </w:rPr>
      </w:pPr>
    </w:p>
    <w:p w:rsidR="00D3291D" w:rsidRPr="000C0707" w:rsidRDefault="00D3291D" w:rsidP="00D3291D">
      <w:pPr>
        <w:rPr>
          <w:sz w:val="22"/>
          <w:szCs w:val="22"/>
          <w:lang w:val="lv-LV"/>
        </w:rPr>
      </w:pPr>
      <w:r w:rsidRPr="000C0707">
        <w:rPr>
          <w:sz w:val="22"/>
          <w:szCs w:val="22"/>
          <w:lang w:val="lv-LV"/>
        </w:rPr>
        <w:t xml:space="preserve"> Rīgā, Kaļ</w:t>
      </w:r>
      <w:r>
        <w:rPr>
          <w:sz w:val="22"/>
          <w:szCs w:val="22"/>
          <w:lang w:val="lv-LV"/>
        </w:rPr>
        <w:t>ķu ielā 1 – 322. telpā, plkst. 09</w:t>
      </w:r>
      <w:r w:rsidRPr="000C0707">
        <w:rPr>
          <w:sz w:val="22"/>
          <w:szCs w:val="22"/>
          <w:lang w:val="lv-LV"/>
        </w:rPr>
        <w:t xml:space="preserve">:00                                                                          </w:t>
      </w:r>
      <w:r w:rsidR="00363607">
        <w:rPr>
          <w:sz w:val="22"/>
          <w:szCs w:val="22"/>
          <w:lang w:val="lv-LV"/>
        </w:rPr>
        <w:t>30</w:t>
      </w:r>
      <w:r w:rsidRPr="000C0707">
        <w:rPr>
          <w:sz w:val="22"/>
          <w:szCs w:val="22"/>
          <w:lang w:val="lv-LV"/>
        </w:rPr>
        <w:t>.</w:t>
      </w:r>
      <w:r>
        <w:rPr>
          <w:sz w:val="22"/>
          <w:szCs w:val="22"/>
          <w:lang w:val="lv-LV"/>
        </w:rPr>
        <w:t>0</w:t>
      </w:r>
      <w:r w:rsidR="0027436F">
        <w:rPr>
          <w:sz w:val="22"/>
          <w:szCs w:val="22"/>
          <w:lang w:val="lv-LV"/>
        </w:rPr>
        <w:t>7</w:t>
      </w:r>
      <w:r w:rsidRPr="000C0707">
        <w:rPr>
          <w:sz w:val="22"/>
          <w:szCs w:val="22"/>
          <w:lang w:val="lv-LV"/>
        </w:rPr>
        <w:t>.201</w:t>
      </w:r>
      <w:r>
        <w:rPr>
          <w:sz w:val="22"/>
          <w:szCs w:val="22"/>
          <w:lang w:val="lv-LV"/>
        </w:rPr>
        <w:t>8</w:t>
      </w:r>
      <w:r w:rsidRPr="000C0707">
        <w:rPr>
          <w:sz w:val="22"/>
          <w:szCs w:val="22"/>
          <w:lang w:val="lv-LV"/>
        </w:rPr>
        <w:t>.</w:t>
      </w:r>
    </w:p>
    <w:p w:rsidR="00D3291D" w:rsidRPr="000C0707" w:rsidRDefault="00D3291D" w:rsidP="00D3291D">
      <w:pPr>
        <w:jc w:val="center"/>
        <w:rPr>
          <w:sz w:val="22"/>
          <w:szCs w:val="22"/>
          <w:lang w:val="lv-LV"/>
        </w:rPr>
      </w:pPr>
    </w:p>
    <w:tbl>
      <w:tblPr>
        <w:tblW w:w="10348" w:type="dxa"/>
        <w:tblLayout w:type="fixed"/>
        <w:tblLook w:val="04A0" w:firstRow="1" w:lastRow="0" w:firstColumn="1" w:lastColumn="0" w:noHBand="0" w:noVBand="1"/>
      </w:tblPr>
      <w:tblGrid>
        <w:gridCol w:w="3085"/>
        <w:gridCol w:w="6005"/>
        <w:gridCol w:w="1258"/>
      </w:tblGrid>
      <w:tr w:rsidR="00D3291D" w:rsidRPr="000C0707" w:rsidTr="00600310">
        <w:tc>
          <w:tcPr>
            <w:tcW w:w="3085" w:type="dxa"/>
          </w:tcPr>
          <w:p w:rsidR="00D3291D" w:rsidRPr="000C0707" w:rsidRDefault="00D3291D" w:rsidP="00600310">
            <w:pPr>
              <w:tabs>
                <w:tab w:val="left" w:pos="9575"/>
              </w:tabs>
              <w:spacing w:before="120"/>
              <w:jc w:val="both"/>
              <w:rPr>
                <w:b/>
                <w:sz w:val="22"/>
                <w:szCs w:val="22"/>
              </w:rPr>
            </w:pPr>
            <w:proofErr w:type="spellStart"/>
            <w:r w:rsidRPr="000C0707">
              <w:rPr>
                <w:b/>
                <w:sz w:val="22"/>
                <w:szCs w:val="22"/>
              </w:rPr>
              <w:t>Komisijas</w:t>
            </w:r>
            <w:proofErr w:type="spellEnd"/>
            <w:r w:rsidRPr="000C0707">
              <w:rPr>
                <w:b/>
                <w:sz w:val="22"/>
                <w:szCs w:val="22"/>
              </w:rPr>
              <w:t xml:space="preserve"> </w:t>
            </w:r>
            <w:proofErr w:type="spellStart"/>
            <w:r w:rsidRPr="000C0707">
              <w:rPr>
                <w:b/>
                <w:sz w:val="22"/>
                <w:szCs w:val="22"/>
              </w:rPr>
              <w:t>priekšsēdētājs</w:t>
            </w:r>
            <w:proofErr w:type="spellEnd"/>
            <w:r w:rsidRPr="000C0707">
              <w:rPr>
                <w:b/>
                <w:sz w:val="22"/>
                <w:szCs w:val="22"/>
              </w:rPr>
              <w:t>:</w:t>
            </w:r>
          </w:p>
        </w:tc>
        <w:tc>
          <w:tcPr>
            <w:tcW w:w="7263" w:type="dxa"/>
            <w:gridSpan w:val="2"/>
          </w:tcPr>
          <w:p w:rsidR="00D3291D" w:rsidRPr="000C0707" w:rsidRDefault="00D3291D" w:rsidP="00600310">
            <w:pPr>
              <w:tabs>
                <w:tab w:val="left" w:pos="397"/>
                <w:tab w:val="left" w:pos="9000"/>
                <w:tab w:val="left" w:pos="9575"/>
              </w:tabs>
              <w:spacing w:before="120"/>
              <w:jc w:val="both"/>
              <w:rPr>
                <w:b/>
                <w:sz w:val="22"/>
                <w:szCs w:val="22"/>
              </w:rPr>
            </w:pPr>
          </w:p>
        </w:tc>
      </w:tr>
      <w:tr w:rsidR="00D3291D" w:rsidRPr="000C0707" w:rsidTr="00363607">
        <w:trPr>
          <w:gridAfter w:val="1"/>
          <w:wAfter w:w="1258" w:type="dxa"/>
        </w:trPr>
        <w:tc>
          <w:tcPr>
            <w:tcW w:w="3085" w:type="dxa"/>
          </w:tcPr>
          <w:p w:rsidR="00D3291D" w:rsidRPr="000C0707" w:rsidRDefault="00D3291D" w:rsidP="00600310">
            <w:pPr>
              <w:rPr>
                <w:b/>
                <w:sz w:val="22"/>
                <w:szCs w:val="22"/>
              </w:rPr>
            </w:pPr>
            <w:r w:rsidRPr="000C0707">
              <w:rPr>
                <w:rStyle w:val="c1"/>
                <w:color w:val="000000"/>
                <w:sz w:val="22"/>
                <w:szCs w:val="22"/>
              </w:rPr>
              <w:t xml:space="preserve">Artis Celitāns </w:t>
            </w:r>
          </w:p>
        </w:tc>
        <w:tc>
          <w:tcPr>
            <w:tcW w:w="6005" w:type="dxa"/>
          </w:tcPr>
          <w:p w:rsidR="00D3291D" w:rsidRPr="000C0707" w:rsidRDefault="00D3291D" w:rsidP="00600310">
            <w:pPr>
              <w:rPr>
                <w:b/>
                <w:sz w:val="22"/>
                <w:szCs w:val="22"/>
              </w:rPr>
            </w:pPr>
            <w:proofErr w:type="spellStart"/>
            <w:r w:rsidRPr="000C0707">
              <w:rPr>
                <w:rStyle w:val="c1"/>
                <w:color w:val="000000"/>
                <w:sz w:val="22"/>
                <w:szCs w:val="22"/>
              </w:rPr>
              <w:t>Juridiskā</w:t>
            </w:r>
            <w:proofErr w:type="spellEnd"/>
            <w:r w:rsidRPr="000C0707">
              <w:rPr>
                <w:rStyle w:val="c1"/>
                <w:color w:val="000000"/>
                <w:sz w:val="22"/>
                <w:szCs w:val="22"/>
              </w:rPr>
              <w:t xml:space="preserve"> </w:t>
            </w:r>
            <w:proofErr w:type="spellStart"/>
            <w:r w:rsidRPr="000C0707">
              <w:rPr>
                <w:rStyle w:val="c1"/>
                <w:color w:val="000000"/>
                <w:sz w:val="22"/>
                <w:szCs w:val="22"/>
              </w:rPr>
              <w:t>departamenta</w:t>
            </w:r>
            <w:proofErr w:type="spellEnd"/>
            <w:r w:rsidRPr="000C0707">
              <w:rPr>
                <w:rStyle w:val="c1"/>
                <w:color w:val="000000"/>
                <w:sz w:val="22"/>
                <w:szCs w:val="22"/>
              </w:rPr>
              <w:t xml:space="preserve"> </w:t>
            </w:r>
            <w:proofErr w:type="spellStart"/>
            <w:r w:rsidRPr="000C0707">
              <w:rPr>
                <w:rStyle w:val="c1"/>
                <w:color w:val="000000"/>
                <w:sz w:val="22"/>
                <w:szCs w:val="22"/>
              </w:rPr>
              <w:t>Iepirkumu</w:t>
            </w:r>
            <w:proofErr w:type="spellEnd"/>
            <w:r w:rsidRPr="000C0707">
              <w:rPr>
                <w:rStyle w:val="c1"/>
                <w:color w:val="000000"/>
                <w:sz w:val="22"/>
                <w:szCs w:val="22"/>
              </w:rPr>
              <w:t xml:space="preserve"> </w:t>
            </w:r>
            <w:proofErr w:type="spellStart"/>
            <w:r w:rsidRPr="000C0707">
              <w:rPr>
                <w:rStyle w:val="c1"/>
                <w:color w:val="000000"/>
                <w:sz w:val="22"/>
                <w:szCs w:val="22"/>
              </w:rPr>
              <w:t>nodaļas</w:t>
            </w:r>
            <w:proofErr w:type="spellEnd"/>
            <w:r w:rsidRPr="000C0707">
              <w:rPr>
                <w:rStyle w:val="c1"/>
                <w:color w:val="000000"/>
                <w:sz w:val="22"/>
                <w:szCs w:val="22"/>
              </w:rPr>
              <w:t xml:space="preserve"> </w:t>
            </w:r>
            <w:proofErr w:type="spellStart"/>
            <w:r w:rsidRPr="000C0707">
              <w:rPr>
                <w:rStyle w:val="c1"/>
                <w:color w:val="000000"/>
                <w:sz w:val="22"/>
                <w:szCs w:val="22"/>
              </w:rPr>
              <w:t>vecākais</w:t>
            </w:r>
            <w:proofErr w:type="spellEnd"/>
            <w:r w:rsidRPr="000C0707">
              <w:rPr>
                <w:rStyle w:val="c1"/>
                <w:color w:val="000000"/>
                <w:sz w:val="22"/>
                <w:szCs w:val="22"/>
              </w:rPr>
              <w:t xml:space="preserve"> </w:t>
            </w:r>
            <w:proofErr w:type="spellStart"/>
            <w:r w:rsidRPr="000C0707">
              <w:rPr>
                <w:rStyle w:val="c1"/>
                <w:color w:val="000000"/>
                <w:sz w:val="22"/>
                <w:szCs w:val="22"/>
              </w:rPr>
              <w:t>iepirkumu</w:t>
            </w:r>
            <w:proofErr w:type="spellEnd"/>
            <w:r w:rsidRPr="000C0707">
              <w:rPr>
                <w:rStyle w:val="c1"/>
                <w:color w:val="000000"/>
                <w:sz w:val="22"/>
                <w:szCs w:val="22"/>
              </w:rPr>
              <w:t xml:space="preserve"> </w:t>
            </w:r>
            <w:proofErr w:type="spellStart"/>
            <w:r w:rsidRPr="000C0707">
              <w:rPr>
                <w:rStyle w:val="c1"/>
                <w:color w:val="000000"/>
                <w:sz w:val="22"/>
                <w:szCs w:val="22"/>
              </w:rPr>
              <w:t>speciālists</w:t>
            </w:r>
            <w:proofErr w:type="spellEnd"/>
            <w:r w:rsidRPr="000C0707">
              <w:rPr>
                <w:rStyle w:val="c1"/>
                <w:color w:val="000000"/>
                <w:sz w:val="22"/>
                <w:szCs w:val="22"/>
              </w:rPr>
              <w:t xml:space="preserve"> </w:t>
            </w:r>
          </w:p>
        </w:tc>
      </w:tr>
      <w:tr w:rsidR="00D3291D" w:rsidRPr="000C0707" w:rsidTr="00600310">
        <w:trPr>
          <w:trHeight w:val="334"/>
        </w:trPr>
        <w:tc>
          <w:tcPr>
            <w:tcW w:w="3085" w:type="dxa"/>
          </w:tcPr>
          <w:p w:rsidR="00D3291D" w:rsidRPr="000C0707" w:rsidRDefault="00D3291D" w:rsidP="00600310">
            <w:pPr>
              <w:tabs>
                <w:tab w:val="left" w:pos="9000"/>
                <w:tab w:val="left" w:pos="9360"/>
                <w:tab w:val="left" w:pos="9575"/>
              </w:tabs>
              <w:spacing w:before="120"/>
              <w:jc w:val="both"/>
              <w:rPr>
                <w:b/>
                <w:sz w:val="22"/>
                <w:szCs w:val="22"/>
              </w:rPr>
            </w:pPr>
            <w:proofErr w:type="spellStart"/>
            <w:r w:rsidRPr="000C0707">
              <w:rPr>
                <w:b/>
                <w:sz w:val="22"/>
                <w:szCs w:val="22"/>
              </w:rPr>
              <w:t>Komisijas</w:t>
            </w:r>
            <w:proofErr w:type="spellEnd"/>
            <w:r w:rsidRPr="000C0707">
              <w:rPr>
                <w:b/>
                <w:sz w:val="22"/>
                <w:szCs w:val="22"/>
              </w:rPr>
              <w:t xml:space="preserve"> </w:t>
            </w:r>
            <w:proofErr w:type="spellStart"/>
            <w:r w:rsidRPr="000C0707">
              <w:rPr>
                <w:b/>
                <w:sz w:val="22"/>
                <w:szCs w:val="22"/>
              </w:rPr>
              <w:t>locekļi</w:t>
            </w:r>
            <w:proofErr w:type="spellEnd"/>
            <w:r w:rsidRPr="000C0707">
              <w:rPr>
                <w:b/>
                <w:sz w:val="22"/>
                <w:szCs w:val="22"/>
              </w:rPr>
              <w:t>:</w:t>
            </w:r>
          </w:p>
        </w:tc>
        <w:tc>
          <w:tcPr>
            <w:tcW w:w="7263" w:type="dxa"/>
            <w:gridSpan w:val="2"/>
          </w:tcPr>
          <w:p w:rsidR="00D3291D" w:rsidRPr="000C0707" w:rsidRDefault="00D3291D" w:rsidP="00600310">
            <w:pPr>
              <w:tabs>
                <w:tab w:val="left" w:pos="397"/>
                <w:tab w:val="left" w:pos="9000"/>
                <w:tab w:val="left" w:pos="9575"/>
              </w:tabs>
              <w:spacing w:before="120"/>
              <w:jc w:val="center"/>
              <w:rPr>
                <w:b/>
                <w:sz w:val="22"/>
                <w:szCs w:val="22"/>
              </w:rPr>
            </w:pPr>
          </w:p>
        </w:tc>
      </w:tr>
      <w:tr w:rsidR="00D3291D" w:rsidRPr="000C0707" w:rsidTr="00600310">
        <w:tc>
          <w:tcPr>
            <w:tcW w:w="3085" w:type="dxa"/>
          </w:tcPr>
          <w:p w:rsidR="00D3291D" w:rsidRPr="00F732AA" w:rsidRDefault="00D3291D" w:rsidP="00600310">
            <w:pPr>
              <w:jc w:val="both"/>
              <w:rPr>
                <w:b/>
                <w:bCs/>
                <w:sz w:val="22"/>
              </w:rPr>
            </w:pPr>
            <w:r w:rsidRPr="00F732AA">
              <w:rPr>
                <w:bCs/>
                <w:sz w:val="22"/>
              </w:rPr>
              <w:t>Zane Circāne</w:t>
            </w:r>
          </w:p>
        </w:tc>
        <w:tc>
          <w:tcPr>
            <w:tcW w:w="7263" w:type="dxa"/>
            <w:gridSpan w:val="2"/>
          </w:tcPr>
          <w:p w:rsidR="00D3291D" w:rsidRPr="00F732AA" w:rsidRDefault="00D3291D" w:rsidP="00600310">
            <w:pPr>
              <w:spacing w:line="276" w:lineRule="auto"/>
              <w:jc w:val="both"/>
              <w:rPr>
                <w:b/>
                <w:sz w:val="22"/>
              </w:rPr>
            </w:pPr>
            <w:proofErr w:type="spellStart"/>
            <w:r w:rsidRPr="00F732AA">
              <w:rPr>
                <w:sz w:val="22"/>
              </w:rPr>
              <w:t>Attīstības</w:t>
            </w:r>
            <w:proofErr w:type="spellEnd"/>
            <w:r w:rsidRPr="00F732AA">
              <w:rPr>
                <w:sz w:val="22"/>
              </w:rPr>
              <w:t xml:space="preserve"> </w:t>
            </w:r>
            <w:proofErr w:type="spellStart"/>
            <w:r w:rsidRPr="00F732AA">
              <w:rPr>
                <w:sz w:val="22"/>
              </w:rPr>
              <w:t>prorektora</w:t>
            </w:r>
            <w:proofErr w:type="spellEnd"/>
            <w:r w:rsidRPr="00F732AA">
              <w:rPr>
                <w:sz w:val="22"/>
              </w:rPr>
              <w:t xml:space="preserve"> </w:t>
            </w:r>
            <w:proofErr w:type="spellStart"/>
            <w:r w:rsidRPr="00F732AA">
              <w:rPr>
                <w:sz w:val="22"/>
              </w:rPr>
              <w:t>dienesta</w:t>
            </w:r>
            <w:proofErr w:type="spellEnd"/>
            <w:r w:rsidRPr="00F732AA">
              <w:rPr>
                <w:sz w:val="22"/>
              </w:rPr>
              <w:t xml:space="preserve"> </w:t>
            </w:r>
            <w:proofErr w:type="spellStart"/>
            <w:r w:rsidRPr="00F732AA">
              <w:rPr>
                <w:sz w:val="22"/>
              </w:rPr>
              <w:t>vecākais</w:t>
            </w:r>
            <w:proofErr w:type="spellEnd"/>
            <w:r w:rsidRPr="00F732AA">
              <w:rPr>
                <w:sz w:val="22"/>
              </w:rPr>
              <w:t xml:space="preserve"> </w:t>
            </w:r>
            <w:proofErr w:type="spellStart"/>
            <w:r w:rsidRPr="00F732AA">
              <w:rPr>
                <w:sz w:val="22"/>
              </w:rPr>
              <w:t>eksperts</w:t>
            </w:r>
            <w:proofErr w:type="spellEnd"/>
          </w:p>
        </w:tc>
      </w:tr>
      <w:tr w:rsidR="00D3291D" w:rsidRPr="000C0707" w:rsidTr="00600310">
        <w:tc>
          <w:tcPr>
            <w:tcW w:w="3085" w:type="dxa"/>
          </w:tcPr>
          <w:p w:rsidR="00D3291D" w:rsidRPr="00F732AA" w:rsidRDefault="00D3291D" w:rsidP="00600310">
            <w:pPr>
              <w:jc w:val="both"/>
              <w:rPr>
                <w:b/>
                <w:bCs/>
                <w:sz w:val="22"/>
              </w:rPr>
            </w:pPr>
            <w:r w:rsidRPr="00F732AA">
              <w:rPr>
                <w:bCs/>
                <w:sz w:val="22"/>
              </w:rPr>
              <w:t>Igors Kozaks</w:t>
            </w:r>
          </w:p>
          <w:p w:rsidR="00D3291D" w:rsidRPr="00F732AA" w:rsidRDefault="00D3291D" w:rsidP="00600310">
            <w:pPr>
              <w:jc w:val="both"/>
              <w:rPr>
                <w:b/>
                <w:bCs/>
                <w:sz w:val="22"/>
              </w:rPr>
            </w:pPr>
          </w:p>
          <w:p w:rsidR="00D3291D" w:rsidRPr="00F732AA" w:rsidRDefault="00D3291D" w:rsidP="00600310">
            <w:pPr>
              <w:jc w:val="both"/>
              <w:rPr>
                <w:b/>
                <w:bCs/>
                <w:sz w:val="22"/>
              </w:rPr>
            </w:pPr>
            <w:r w:rsidRPr="00F732AA">
              <w:rPr>
                <w:bCs/>
                <w:sz w:val="22"/>
              </w:rPr>
              <w:t>Dārta Ūbele</w:t>
            </w:r>
          </w:p>
        </w:tc>
        <w:tc>
          <w:tcPr>
            <w:tcW w:w="7263" w:type="dxa"/>
            <w:gridSpan w:val="2"/>
          </w:tcPr>
          <w:p w:rsidR="00D3291D" w:rsidRPr="00F732AA" w:rsidRDefault="00D3291D" w:rsidP="00600310">
            <w:pPr>
              <w:spacing w:line="276" w:lineRule="auto"/>
              <w:jc w:val="both"/>
              <w:rPr>
                <w:b/>
                <w:sz w:val="22"/>
              </w:rPr>
            </w:pPr>
            <w:proofErr w:type="spellStart"/>
            <w:r w:rsidRPr="00F732AA">
              <w:rPr>
                <w:sz w:val="22"/>
              </w:rPr>
              <w:t>Biomedicīnas</w:t>
            </w:r>
            <w:proofErr w:type="spellEnd"/>
            <w:r w:rsidRPr="00F732AA">
              <w:rPr>
                <w:sz w:val="22"/>
              </w:rPr>
              <w:t xml:space="preserve"> </w:t>
            </w:r>
            <w:proofErr w:type="spellStart"/>
            <w:r w:rsidRPr="00F732AA">
              <w:rPr>
                <w:sz w:val="22"/>
              </w:rPr>
              <w:t>inženierzinātņu</w:t>
            </w:r>
            <w:proofErr w:type="spellEnd"/>
            <w:r w:rsidRPr="00F732AA">
              <w:rPr>
                <w:sz w:val="22"/>
              </w:rPr>
              <w:t xml:space="preserve"> un </w:t>
            </w:r>
            <w:proofErr w:type="spellStart"/>
            <w:r w:rsidRPr="00F732AA">
              <w:rPr>
                <w:sz w:val="22"/>
              </w:rPr>
              <w:t>nanotehnoloģu</w:t>
            </w:r>
            <w:proofErr w:type="spellEnd"/>
            <w:r w:rsidRPr="00F732AA">
              <w:rPr>
                <w:sz w:val="22"/>
              </w:rPr>
              <w:t xml:space="preserve"> </w:t>
            </w:r>
            <w:proofErr w:type="spellStart"/>
            <w:r w:rsidRPr="00F732AA">
              <w:rPr>
                <w:sz w:val="22"/>
              </w:rPr>
              <w:t>institūta</w:t>
            </w:r>
            <w:proofErr w:type="spellEnd"/>
            <w:r w:rsidRPr="00F732AA">
              <w:rPr>
                <w:sz w:val="22"/>
              </w:rPr>
              <w:t xml:space="preserve"> </w:t>
            </w:r>
            <w:proofErr w:type="spellStart"/>
            <w:r w:rsidRPr="00F732AA">
              <w:rPr>
                <w:sz w:val="22"/>
              </w:rPr>
              <w:t>inženieris</w:t>
            </w:r>
            <w:proofErr w:type="spellEnd"/>
          </w:p>
          <w:p w:rsidR="00D3291D" w:rsidRPr="00F732AA" w:rsidRDefault="00D3291D" w:rsidP="00600310">
            <w:pPr>
              <w:spacing w:line="276" w:lineRule="auto"/>
              <w:jc w:val="both"/>
              <w:rPr>
                <w:b/>
                <w:sz w:val="22"/>
              </w:rPr>
            </w:pPr>
            <w:proofErr w:type="spellStart"/>
            <w:r w:rsidRPr="00F732AA">
              <w:rPr>
                <w:sz w:val="22"/>
              </w:rPr>
              <w:t>Biomateriālu</w:t>
            </w:r>
            <w:proofErr w:type="spellEnd"/>
            <w:r w:rsidRPr="00F732AA">
              <w:rPr>
                <w:sz w:val="22"/>
              </w:rPr>
              <w:t xml:space="preserve"> </w:t>
            </w:r>
            <w:proofErr w:type="spellStart"/>
            <w:r w:rsidRPr="00F732AA">
              <w:rPr>
                <w:sz w:val="22"/>
              </w:rPr>
              <w:t>zinātniskās</w:t>
            </w:r>
            <w:proofErr w:type="spellEnd"/>
            <w:r w:rsidRPr="00F732AA">
              <w:rPr>
                <w:sz w:val="22"/>
              </w:rPr>
              <w:t xml:space="preserve"> </w:t>
            </w:r>
            <w:proofErr w:type="spellStart"/>
            <w:r w:rsidRPr="00F732AA">
              <w:rPr>
                <w:sz w:val="22"/>
              </w:rPr>
              <w:t>pētniecības</w:t>
            </w:r>
            <w:proofErr w:type="spellEnd"/>
            <w:r w:rsidRPr="00F732AA">
              <w:rPr>
                <w:sz w:val="22"/>
              </w:rPr>
              <w:t xml:space="preserve"> </w:t>
            </w:r>
            <w:proofErr w:type="spellStart"/>
            <w:r w:rsidRPr="00F732AA">
              <w:rPr>
                <w:sz w:val="22"/>
              </w:rPr>
              <w:t>laboratorija</w:t>
            </w:r>
            <w:proofErr w:type="spellEnd"/>
            <w:r w:rsidRPr="00F732AA">
              <w:rPr>
                <w:sz w:val="22"/>
              </w:rPr>
              <w:t xml:space="preserve"> </w:t>
            </w:r>
            <w:proofErr w:type="spellStart"/>
            <w:r w:rsidRPr="00F732AA">
              <w:rPr>
                <w:sz w:val="22"/>
              </w:rPr>
              <w:t>pētniece</w:t>
            </w:r>
            <w:proofErr w:type="spellEnd"/>
          </w:p>
        </w:tc>
      </w:tr>
      <w:tr w:rsidR="00D3291D" w:rsidRPr="000C0707" w:rsidTr="00600310">
        <w:tc>
          <w:tcPr>
            <w:tcW w:w="3085" w:type="dxa"/>
          </w:tcPr>
          <w:p w:rsidR="00D3291D" w:rsidRPr="00F732AA" w:rsidRDefault="00D3291D" w:rsidP="00600310">
            <w:pPr>
              <w:jc w:val="both"/>
              <w:rPr>
                <w:b/>
                <w:sz w:val="22"/>
              </w:rPr>
            </w:pPr>
            <w:r w:rsidRPr="00F732AA">
              <w:rPr>
                <w:sz w:val="22"/>
              </w:rPr>
              <w:t>Juris Korhs</w:t>
            </w:r>
          </w:p>
        </w:tc>
        <w:tc>
          <w:tcPr>
            <w:tcW w:w="7263" w:type="dxa"/>
            <w:gridSpan w:val="2"/>
          </w:tcPr>
          <w:p w:rsidR="00D3291D" w:rsidRPr="00F732AA" w:rsidRDefault="00D3291D" w:rsidP="00600310">
            <w:pPr>
              <w:tabs>
                <w:tab w:val="left" w:pos="0"/>
              </w:tabs>
              <w:jc w:val="both"/>
              <w:rPr>
                <w:b/>
                <w:sz w:val="22"/>
              </w:rPr>
            </w:pPr>
            <w:proofErr w:type="spellStart"/>
            <w:r w:rsidRPr="00F732AA">
              <w:rPr>
                <w:sz w:val="22"/>
              </w:rPr>
              <w:t>Ķīpsalas</w:t>
            </w:r>
            <w:proofErr w:type="spellEnd"/>
            <w:r w:rsidRPr="00F732AA">
              <w:rPr>
                <w:sz w:val="22"/>
              </w:rPr>
              <w:t xml:space="preserve"> </w:t>
            </w:r>
            <w:proofErr w:type="spellStart"/>
            <w:r w:rsidRPr="00F732AA">
              <w:rPr>
                <w:sz w:val="22"/>
              </w:rPr>
              <w:t>kompleksa</w:t>
            </w:r>
            <w:proofErr w:type="spellEnd"/>
            <w:r w:rsidRPr="00F732AA">
              <w:rPr>
                <w:sz w:val="22"/>
              </w:rPr>
              <w:t xml:space="preserve"> </w:t>
            </w:r>
            <w:proofErr w:type="spellStart"/>
            <w:r w:rsidRPr="00F732AA">
              <w:rPr>
                <w:sz w:val="22"/>
              </w:rPr>
              <w:t>pārvaldes</w:t>
            </w:r>
            <w:proofErr w:type="spellEnd"/>
            <w:r w:rsidRPr="00F732AA">
              <w:rPr>
                <w:sz w:val="22"/>
              </w:rPr>
              <w:t xml:space="preserve"> </w:t>
            </w:r>
            <w:proofErr w:type="spellStart"/>
            <w:r w:rsidRPr="00F732AA">
              <w:rPr>
                <w:sz w:val="22"/>
              </w:rPr>
              <w:t>grupas</w:t>
            </w:r>
            <w:proofErr w:type="spellEnd"/>
            <w:r w:rsidRPr="00F732AA">
              <w:rPr>
                <w:sz w:val="22"/>
              </w:rPr>
              <w:t xml:space="preserve"> </w:t>
            </w:r>
            <w:proofErr w:type="spellStart"/>
            <w:r w:rsidRPr="00F732AA">
              <w:rPr>
                <w:sz w:val="22"/>
              </w:rPr>
              <w:t>nekustamā</w:t>
            </w:r>
            <w:proofErr w:type="spellEnd"/>
            <w:r w:rsidRPr="00F732AA">
              <w:rPr>
                <w:sz w:val="22"/>
              </w:rPr>
              <w:t xml:space="preserve"> </w:t>
            </w:r>
            <w:proofErr w:type="spellStart"/>
            <w:r w:rsidRPr="00F732AA">
              <w:rPr>
                <w:sz w:val="22"/>
              </w:rPr>
              <w:t>īpašuma</w:t>
            </w:r>
            <w:proofErr w:type="spellEnd"/>
            <w:r w:rsidRPr="00F732AA">
              <w:rPr>
                <w:sz w:val="22"/>
              </w:rPr>
              <w:t xml:space="preserve"> </w:t>
            </w:r>
            <w:proofErr w:type="spellStart"/>
            <w:r w:rsidRPr="00F732AA">
              <w:rPr>
                <w:sz w:val="22"/>
              </w:rPr>
              <w:t>speciālists</w:t>
            </w:r>
            <w:proofErr w:type="spellEnd"/>
          </w:p>
        </w:tc>
      </w:tr>
    </w:tbl>
    <w:p w:rsidR="0027436F" w:rsidRDefault="0027436F" w:rsidP="00D3291D">
      <w:pPr>
        <w:rPr>
          <w:sz w:val="22"/>
          <w:szCs w:val="22"/>
          <w:lang w:val="lv-LV"/>
        </w:rPr>
      </w:pPr>
    </w:p>
    <w:p w:rsidR="00D3291D" w:rsidRDefault="00D3291D" w:rsidP="00D3291D">
      <w:pPr>
        <w:rPr>
          <w:sz w:val="22"/>
          <w:szCs w:val="22"/>
          <w:lang w:val="lv-LV"/>
        </w:rPr>
      </w:pPr>
      <w:r w:rsidRPr="000C0707">
        <w:rPr>
          <w:sz w:val="22"/>
          <w:szCs w:val="22"/>
          <w:lang w:val="lv-LV"/>
        </w:rPr>
        <w:t>Komisija izveid</w:t>
      </w:r>
      <w:r>
        <w:rPr>
          <w:sz w:val="22"/>
          <w:szCs w:val="22"/>
          <w:lang w:val="lv-LV"/>
        </w:rPr>
        <w:t>ota ar RTU finanšu prorektora 14.03.2018. rīkojumu Nr. 03000-1.2/34</w:t>
      </w:r>
    </w:p>
    <w:p w:rsidR="00D3291D" w:rsidRDefault="00D3291D" w:rsidP="00D3291D">
      <w:pPr>
        <w:jc w:val="both"/>
        <w:rPr>
          <w:sz w:val="22"/>
          <w:szCs w:val="22"/>
          <w:lang w:val="lv-LV"/>
        </w:rPr>
      </w:pPr>
      <w:r w:rsidRPr="00F97E30">
        <w:rPr>
          <w:sz w:val="22"/>
          <w:szCs w:val="22"/>
          <w:lang w:val="lv-LV"/>
        </w:rPr>
        <w:t xml:space="preserve">Sēdi vada un protokolē: </w:t>
      </w:r>
      <w:proofErr w:type="spellStart"/>
      <w:r>
        <w:rPr>
          <w:sz w:val="22"/>
          <w:szCs w:val="22"/>
          <w:lang w:val="lv-LV"/>
        </w:rPr>
        <w:t>A.Celitāns</w:t>
      </w:r>
      <w:proofErr w:type="spellEnd"/>
    </w:p>
    <w:p w:rsidR="003738BF" w:rsidRPr="005400EE" w:rsidRDefault="003738BF" w:rsidP="003738BF">
      <w:pPr>
        <w:jc w:val="both"/>
        <w:rPr>
          <w:sz w:val="22"/>
          <w:szCs w:val="22"/>
          <w:lang w:val="lv-LV"/>
        </w:rPr>
      </w:pPr>
    </w:p>
    <w:p w:rsidR="004849CB" w:rsidRPr="00CC4F93" w:rsidRDefault="004849CB" w:rsidP="004849CB">
      <w:pPr>
        <w:jc w:val="both"/>
        <w:rPr>
          <w:sz w:val="22"/>
          <w:szCs w:val="22"/>
          <w:lang w:val="lv-LV"/>
        </w:rPr>
      </w:pPr>
      <w:r w:rsidRPr="00CC4F93">
        <w:rPr>
          <w:b/>
          <w:bCs/>
          <w:sz w:val="22"/>
          <w:szCs w:val="22"/>
          <w:lang w:val="lv-LV"/>
        </w:rPr>
        <w:t xml:space="preserve">Darba kārtībā: </w:t>
      </w:r>
    </w:p>
    <w:p w:rsidR="00C6365E" w:rsidRDefault="00D3291D" w:rsidP="00A10426">
      <w:pPr>
        <w:pStyle w:val="ListParagraph"/>
        <w:numPr>
          <w:ilvl w:val="0"/>
          <w:numId w:val="38"/>
        </w:numPr>
        <w:jc w:val="both"/>
        <w:rPr>
          <w:sz w:val="22"/>
          <w:szCs w:val="22"/>
          <w:lang w:val="lv-LV"/>
        </w:rPr>
      </w:pPr>
      <w:proofErr w:type="spellStart"/>
      <w:r>
        <w:rPr>
          <w:sz w:val="22"/>
          <w:szCs w:val="22"/>
          <w:lang w:val="lv-LV"/>
        </w:rPr>
        <w:t>A.Celitāna</w:t>
      </w:r>
      <w:proofErr w:type="spellEnd"/>
      <w:r w:rsidR="00A10426">
        <w:rPr>
          <w:sz w:val="22"/>
          <w:szCs w:val="22"/>
          <w:lang w:val="lv-LV"/>
        </w:rPr>
        <w:t xml:space="preserve"> informācija</w:t>
      </w:r>
    </w:p>
    <w:p w:rsidR="00A10426" w:rsidRDefault="00D3291D" w:rsidP="00A10426">
      <w:pPr>
        <w:pStyle w:val="ListParagraph"/>
        <w:numPr>
          <w:ilvl w:val="1"/>
          <w:numId w:val="38"/>
        </w:numPr>
        <w:jc w:val="both"/>
        <w:rPr>
          <w:sz w:val="22"/>
          <w:szCs w:val="22"/>
          <w:lang w:val="lv-LV"/>
        </w:rPr>
      </w:pPr>
      <w:r>
        <w:rPr>
          <w:sz w:val="22"/>
          <w:szCs w:val="22"/>
          <w:lang w:val="lv-LV"/>
        </w:rPr>
        <w:t>Komisijas loceklis</w:t>
      </w:r>
      <w:r w:rsidR="00A10426">
        <w:rPr>
          <w:sz w:val="22"/>
          <w:szCs w:val="22"/>
          <w:lang w:val="lv-LV"/>
        </w:rPr>
        <w:t xml:space="preserve"> </w:t>
      </w:r>
      <w:proofErr w:type="spellStart"/>
      <w:r>
        <w:rPr>
          <w:sz w:val="22"/>
          <w:szCs w:val="22"/>
          <w:lang w:val="lv-LV"/>
        </w:rPr>
        <w:t>A.Celitāns</w:t>
      </w:r>
      <w:proofErr w:type="spellEnd"/>
      <w:r w:rsidR="00A10426">
        <w:rPr>
          <w:sz w:val="22"/>
          <w:szCs w:val="22"/>
          <w:lang w:val="lv-LV"/>
        </w:rPr>
        <w:t xml:space="preserve"> informē, ka </w:t>
      </w:r>
      <w:r>
        <w:rPr>
          <w:sz w:val="22"/>
          <w:szCs w:val="22"/>
          <w:lang w:val="lv-LV"/>
        </w:rPr>
        <w:t>2</w:t>
      </w:r>
      <w:r w:rsidR="00363607">
        <w:rPr>
          <w:sz w:val="22"/>
          <w:szCs w:val="22"/>
          <w:lang w:val="lv-LV"/>
        </w:rPr>
        <w:t>5</w:t>
      </w:r>
      <w:r w:rsidR="00A10426">
        <w:rPr>
          <w:sz w:val="22"/>
          <w:szCs w:val="22"/>
          <w:lang w:val="lv-LV"/>
        </w:rPr>
        <w:t>.0</w:t>
      </w:r>
      <w:r w:rsidR="00363607">
        <w:rPr>
          <w:sz w:val="22"/>
          <w:szCs w:val="22"/>
          <w:lang w:val="lv-LV"/>
        </w:rPr>
        <w:t>7.2018. ir saņemti</w:t>
      </w:r>
      <w:r w:rsidR="00A10426">
        <w:rPr>
          <w:sz w:val="22"/>
          <w:szCs w:val="22"/>
          <w:lang w:val="lv-LV"/>
        </w:rPr>
        <w:t xml:space="preserve"> jautājumi no potenciālā piegādātāja par konkursa nolikumu.</w:t>
      </w:r>
    </w:p>
    <w:p w:rsidR="00A10426" w:rsidRDefault="00A10426" w:rsidP="00A10426">
      <w:pPr>
        <w:pStyle w:val="ListParagraph"/>
        <w:numPr>
          <w:ilvl w:val="1"/>
          <w:numId w:val="38"/>
        </w:numPr>
        <w:jc w:val="both"/>
        <w:rPr>
          <w:sz w:val="22"/>
          <w:szCs w:val="22"/>
          <w:lang w:val="lv-LV"/>
        </w:rPr>
      </w:pPr>
      <w:r>
        <w:rPr>
          <w:sz w:val="22"/>
          <w:szCs w:val="22"/>
          <w:lang w:val="lv-LV"/>
        </w:rPr>
        <w:t>Komisijas locekļi iepazīstas ar jautājumu saturu, apspriež atbilžu projektu un n</w:t>
      </w:r>
      <w:r w:rsidR="00363607">
        <w:rPr>
          <w:sz w:val="22"/>
          <w:szCs w:val="22"/>
          <w:lang w:val="lv-LV"/>
        </w:rPr>
        <w:t>olemj sniegt šādas atbildes</w:t>
      </w:r>
      <w:r>
        <w:rPr>
          <w:sz w:val="22"/>
          <w:szCs w:val="22"/>
          <w:lang w:val="lv-LV"/>
        </w:rPr>
        <w:t>:</w:t>
      </w:r>
    </w:p>
    <w:p w:rsidR="00A10426" w:rsidRDefault="00A10426" w:rsidP="00A10426">
      <w:pPr>
        <w:jc w:val="both"/>
        <w:rPr>
          <w:sz w:val="22"/>
          <w:szCs w:val="22"/>
          <w:lang w:val="lv-LV"/>
        </w:rPr>
      </w:pPr>
    </w:p>
    <w:p w:rsidR="00A10426" w:rsidRPr="002B3B01" w:rsidRDefault="00A10426" w:rsidP="00A10426">
      <w:pPr>
        <w:jc w:val="both"/>
        <w:rPr>
          <w:b/>
          <w:sz w:val="22"/>
          <w:szCs w:val="22"/>
          <w:lang w:val="lv-LV"/>
        </w:rPr>
      </w:pPr>
      <w:r w:rsidRPr="002B3B01">
        <w:rPr>
          <w:b/>
          <w:sz w:val="22"/>
          <w:szCs w:val="22"/>
          <w:lang w:val="lv-LV"/>
        </w:rPr>
        <w:t>Jautājums Nr.1</w:t>
      </w:r>
    </w:p>
    <w:tbl>
      <w:tblPr>
        <w:tblStyle w:val="TableGrid"/>
        <w:tblW w:w="9085" w:type="dxa"/>
        <w:tblLook w:val="04A0" w:firstRow="1" w:lastRow="0" w:firstColumn="1" w:lastColumn="0" w:noHBand="0" w:noVBand="1"/>
      </w:tblPr>
      <w:tblGrid>
        <w:gridCol w:w="546"/>
        <w:gridCol w:w="2422"/>
        <w:gridCol w:w="6117"/>
      </w:tblGrid>
      <w:tr w:rsidR="00363607" w:rsidRPr="00554DDC" w:rsidTr="00363607">
        <w:tc>
          <w:tcPr>
            <w:tcW w:w="2943" w:type="dxa"/>
            <w:gridSpan w:val="2"/>
          </w:tcPr>
          <w:p w:rsidR="00363607" w:rsidRPr="00C25FCB" w:rsidRDefault="00363607" w:rsidP="009A58FC">
            <w:pPr>
              <w:contextualSpacing/>
              <w:rPr>
                <w:b/>
                <w:sz w:val="22"/>
                <w:szCs w:val="20"/>
              </w:rPr>
            </w:pPr>
            <w:proofErr w:type="spellStart"/>
            <w:r w:rsidRPr="00C25FCB">
              <w:rPr>
                <w:b/>
                <w:sz w:val="22"/>
                <w:szCs w:val="20"/>
              </w:rPr>
              <w:t>Nolikuma</w:t>
            </w:r>
            <w:proofErr w:type="spellEnd"/>
            <w:r w:rsidRPr="00C25FCB">
              <w:rPr>
                <w:b/>
                <w:sz w:val="22"/>
                <w:szCs w:val="20"/>
              </w:rPr>
              <w:t xml:space="preserve"> </w:t>
            </w:r>
            <w:proofErr w:type="spellStart"/>
            <w:r w:rsidRPr="00C25FCB">
              <w:rPr>
                <w:b/>
                <w:sz w:val="22"/>
                <w:szCs w:val="20"/>
              </w:rPr>
              <w:t>punkts</w:t>
            </w:r>
            <w:proofErr w:type="spellEnd"/>
          </w:p>
        </w:tc>
        <w:tc>
          <w:tcPr>
            <w:tcW w:w="6142" w:type="dxa"/>
          </w:tcPr>
          <w:p w:rsidR="00363607" w:rsidRPr="00C25FCB" w:rsidRDefault="00363607" w:rsidP="009A58FC">
            <w:pPr>
              <w:contextualSpacing/>
              <w:jc w:val="both"/>
              <w:rPr>
                <w:b/>
                <w:sz w:val="22"/>
                <w:szCs w:val="20"/>
              </w:rPr>
            </w:pPr>
            <w:proofErr w:type="spellStart"/>
            <w:r w:rsidRPr="00C25FCB">
              <w:rPr>
                <w:b/>
                <w:sz w:val="22"/>
                <w:szCs w:val="20"/>
              </w:rPr>
              <w:t>Pretendenta</w:t>
            </w:r>
            <w:proofErr w:type="spellEnd"/>
            <w:r w:rsidRPr="00C25FCB">
              <w:rPr>
                <w:b/>
                <w:sz w:val="22"/>
                <w:szCs w:val="20"/>
              </w:rPr>
              <w:t xml:space="preserve"> </w:t>
            </w:r>
            <w:proofErr w:type="spellStart"/>
            <w:r w:rsidRPr="00C25FCB">
              <w:rPr>
                <w:b/>
                <w:sz w:val="22"/>
                <w:szCs w:val="20"/>
              </w:rPr>
              <w:t>jautājums</w:t>
            </w:r>
            <w:proofErr w:type="spellEnd"/>
          </w:p>
        </w:tc>
      </w:tr>
      <w:tr w:rsidR="00363607" w:rsidRPr="00554DDC" w:rsidTr="00363607">
        <w:trPr>
          <w:trHeight w:val="70"/>
        </w:trPr>
        <w:tc>
          <w:tcPr>
            <w:tcW w:w="516" w:type="dxa"/>
          </w:tcPr>
          <w:p w:rsidR="00363607" w:rsidRPr="00C25FCB" w:rsidRDefault="00363607" w:rsidP="009A58FC">
            <w:pPr>
              <w:contextualSpacing/>
              <w:jc w:val="both"/>
              <w:rPr>
                <w:sz w:val="22"/>
                <w:szCs w:val="20"/>
              </w:rPr>
            </w:pPr>
            <w:r w:rsidRPr="00C25FCB">
              <w:rPr>
                <w:sz w:val="22"/>
                <w:szCs w:val="20"/>
              </w:rPr>
              <w:t>8.5.</w:t>
            </w:r>
          </w:p>
        </w:tc>
        <w:tc>
          <w:tcPr>
            <w:tcW w:w="2427" w:type="dxa"/>
          </w:tcPr>
          <w:p w:rsidR="00363607" w:rsidRPr="00C25FCB" w:rsidRDefault="00363607" w:rsidP="009A58FC">
            <w:pPr>
              <w:pStyle w:val="BodyTextIndent3"/>
              <w:widowControl w:val="0"/>
              <w:spacing w:after="0"/>
              <w:ind w:left="0" w:right="-79"/>
              <w:jc w:val="both"/>
              <w:rPr>
                <w:sz w:val="22"/>
                <w:szCs w:val="20"/>
                <w:lang w:val="lv-LV"/>
              </w:rPr>
            </w:pPr>
            <w:r w:rsidRPr="00C25FCB">
              <w:rPr>
                <w:sz w:val="22"/>
                <w:szCs w:val="20"/>
                <w:lang w:val="lv-LV"/>
              </w:rPr>
              <w:t>Komisijai ir tiesības neizskatīt piedāvājumus, kuru Finanšu piedāvājums pārsniedz 1.9.punktā minēto paredzamo līgumcenu vai izskatīt tikai to Finanšu piedāvājumu, kurš ir lētākais.</w:t>
            </w:r>
          </w:p>
          <w:p w:rsidR="00363607" w:rsidRPr="00C25FCB" w:rsidRDefault="00363607" w:rsidP="009A58FC">
            <w:pPr>
              <w:autoSpaceDE w:val="0"/>
              <w:autoSpaceDN w:val="0"/>
              <w:adjustRightInd w:val="0"/>
              <w:rPr>
                <w:sz w:val="22"/>
                <w:szCs w:val="20"/>
              </w:rPr>
            </w:pPr>
          </w:p>
        </w:tc>
        <w:tc>
          <w:tcPr>
            <w:tcW w:w="6142" w:type="dxa"/>
          </w:tcPr>
          <w:p w:rsidR="00363607" w:rsidRPr="00C25FCB" w:rsidRDefault="00363607" w:rsidP="009A58FC">
            <w:pPr>
              <w:contextualSpacing/>
              <w:jc w:val="both"/>
              <w:rPr>
                <w:sz w:val="22"/>
                <w:szCs w:val="20"/>
              </w:rPr>
            </w:pPr>
            <w:proofErr w:type="spellStart"/>
            <w:r w:rsidRPr="00C25FCB">
              <w:rPr>
                <w:sz w:val="22"/>
                <w:szCs w:val="20"/>
              </w:rPr>
              <w:t>Ņemot</w:t>
            </w:r>
            <w:proofErr w:type="spellEnd"/>
            <w:r w:rsidRPr="00C25FCB">
              <w:rPr>
                <w:sz w:val="22"/>
                <w:szCs w:val="20"/>
              </w:rPr>
              <w:t xml:space="preserve"> </w:t>
            </w:r>
            <w:proofErr w:type="spellStart"/>
            <w:r w:rsidRPr="00C25FCB">
              <w:rPr>
                <w:sz w:val="22"/>
                <w:szCs w:val="20"/>
              </w:rPr>
              <w:t>vērā</w:t>
            </w:r>
            <w:proofErr w:type="spellEnd"/>
            <w:r w:rsidRPr="00C25FCB">
              <w:rPr>
                <w:sz w:val="22"/>
                <w:szCs w:val="20"/>
              </w:rPr>
              <w:t xml:space="preserve"> </w:t>
            </w:r>
            <w:proofErr w:type="spellStart"/>
            <w:r w:rsidRPr="00C25FCB">
              <w:rPr>
                <w:sz w:val="22"/>
                <w:szCs w:val="20"/>
              </w:rPr>
              <w:t>nolikuma</w:t>
            </w:r>
            <w:proofErr w:type="spellEnd"/>
            <w:r w:rsidRPr="00C25FCB">
              <w:rPr>
                <w:sz w:val="22"/>
                <w:szCs w:val="20"/>
              </w:rPr>
              <w:t xml:space="preserve"> 9.3. </w:t>
            </w:r>
            <w:proofErr w:type="spellStart"/>
            <w:r w:rsidRPr="00C25FCB">
              <w:rPr>
                <w:sz w:val="22"/>
                <w:szCs w:val="20"/>
              </w:rPr>
              <w:t>punkta</w:t>
            </w:r>
            <w:proofErr w:type="spellEnd"/>
            <w:r w:rsidRPr="00C25FCB">
              <w:rPr>
                <w:sz w:val="22"/>
                <w:szCs w:val="20"/>
              </w:rPr>
              <w:t xml:space="preserve"> </w:t>
            </w:r>
            <w:proofErr w:type="spellStart"/>
            <w:r w:rsidRPr="00C25FCB">
              <w:rPr>
                <w:sz w:val="22"/>
                <w:szCs w:val="20"/>
              </w:rPr>
              <w:t>esamību</w:t>
            </w:r>
            <w:proofErr w:type="spellEnd"/>
            <w:r w:rsidRPr="00C25FCB">
              <w:rPr>
                <w:sz w:val="22"/>
                <w:szCs w:val="20"/>
              </w:rPr>
              <w:t xml:space="preserve">, </w:t>
            </w:r>
            <w:proofErr w:type="spellStart"/>
            <w:r w:rsidRPr="00C25FCB">
              <w:rPr>
                <w:sz w:val="22"/>
                <w:szCs w:val="20"/>
              </w:rPr>
              <w:t>vai</w:t>
            </w:r>
            <w:proofErr w:type="spellEnd"/>
            <w:r w:rsidRPr="00C25FCB">
              <w:rPr>
                <w:sz w:val="22"/>
                <w:szCs w:val="20"/>
              </w:rPr>
              <w:t xml:space="preserve"> </w:t>
            </w:r>
            <w:proofErr w:type="spellStart"/>
            <w:r w:rsidRPr="00C25FCB">
              <w:rPr>
                <w:sz w:val="22"/>
                <w:szCs w:val="20"/>
              </w:rPr>
              <w:t>Pretendents</w:t>
            </w:r>
            <w:proofErr w:type="spellEnd"/>
            <w:r w:rsidRPr="00C25FCB">
              <w:rPr>
                <w:sz w:val="22"/>
                <w:szCs w:val="20"/>
              </w:rPr>
              <w:t xml:space="preserve"> </w:t>
            </w:r>
            <w:proofErr w:type="spellStart"/>
            <w:r w:rsidRPr="00C25FCB">
              <w:rPr>
                <w:sz w:val="22"/>
                <w:szCs w:val="20"/>
              </w:rPr>
              <w:t>pareizi</w:t>
            </w:r>
            <w:proofErr w:type="spellEnd"/>
            <w:r w:rsidRPr="00C25FCB">
              <w:rPr>
                <w:sz w:val="22"/>
                <w:szCs w:val="20"/>
              </w:rPr>
              <w:t xml:space="preserve"> </w:t>
            </w:r>
            <w:proofErr w:type="spellStart"/>
            <w:r w:rsidRPr="00C25FCB">
              <w:rPr>
                <w:sz w:val="22"/>
                <w:szCs w:val="20"/>
              </w:rPr>
              <w:t>izprot</w:t>
            </w:r>
            <w:proofErr w:type="spellEnd"/>
            <w:r w:rsidRPr="00C25FCB">
              <w:rPr>
                <w:sz w:val="22"/>
                <w:szCs w:val="20"/>
              </w:rPr>
              <w:t xml:space="preserve">, </w:t>
            </w:r>
            <w:proofErr w:type="spellStart"/>
            <w:r w:rsidRPr="00C25FCB">
              <w:rPr>
                <w:sz w:val="22"/>
                <w:szCs w:val="20"/>
              </w:rPr>
              <w:t>ka</w:t>
            </w:r>
            <w:proofErr w:type="spellEnd"/>
            <w:r w:rsidRPr="00C25FCB">
              <w:rPr>
                <w:sz w:val="22"/>
                <w:szCs w:val="20"/>
              </w:rPr>
              <w:t xml:space="preserve"> </w:t>
            </w:r>
            <w:proofErr w:type="spellStart"/>
            <w:r w:rsidRPr="00C25FCB">
              <w:rPr>
                <w:sz w:val="22"/>
                <w:szCs w:val="20"/>
              </w:rPr>
              <w:t>komisijai</w:t>
            </w:r>
            <w:proofErr w:type="spellEnd"/>
            <w:r w:rsidRPr="00C25FCB">
              <w:rPr>
                <w:sz w:val="22"/>
                <w:szCs w:val="20"/>
              </w:rPr>
              <w:t xml:space="preserve"> </w:t>
            </w:r>
            <w:proofErr w:type="spellStart"/>
            <w:r w:rsidRPr="00C25FCB">
              <w:rPr>
                <w:sz w:val="22"/>
                <w:szCs w:val="20"/>
              </w:rPr>
              <w:t>ir</w:t>
            </w:r>
            <w:proofErr w:type="spellEnd"/>
            <w:r w:rsidRPr="00C25FCB">
              <w:rPr>
                <w:sz w:val="22"/>
                <w:szCs w:val="20"/>
              </w:rPr>
              <w:t xml:space="preserve"> </w:t>
            </w:r>
            <w:proofErr w:type="spellStart"/>
            <w:r w:rsidRPr="00C25FCB">
              <w:rPr>
                <w:sz w:val="22"/>
                <w:szCs w:val="20"/>
              </w:rPr>
              <w:t>tiesības</w:t>
            </w:r>
            <w:proofErr w:type="spellEnd"/>
            <w:r w:rsidRPr="00C25FCB">
              <w:rPr>
                <w:sz w:val="22"/>
                <w:szCs w:val="20"/>
              </w:rPr>
              <w:t xml:space="preserve"> </w:t>
            </w:r>
            <w:proofErr w:type="spellStart"/>
            <w:r w:rsidRPr="00C25FCB">
              <w:rPr>
                <w:sz w:val="22"/>
                <w:szCs w:val="20"/>
              </w:rPr>
              <w:t>neizskatīt</w:t>
            </w:r>
            <w:proofErr w:type="spellEnd"/>
            <w:r w:rsidRPr="00C25FCB">
              <w:rPr>
                <w:sz w:val="22"/>
                <w:szCs w:val="20"/>
              </w:rPr>
              <w:t xml:space="preserve"> </w:t>
            </w:r>
            <w:proofErr w:type="spellStart"/>
            <w:r w:rsidRPr="00C25FCB">
              <w:rPr>
                <w:sz w:val="22"/>
                <w:szCs w:val="20"/>
                <w:u w:val="single"/>
              </w:rPr>
              <w:t>tikai</w:t>
            </w:r>
            <w:proofErr w:type="spellEnd"/>
            <w:r w:rsidRPr="00C25FCB">
              <w:rPr>
                <w:sz w:val="22"/>
                <w:szCs w:val="20"/>
                <w:u w:val="single"/>
              </w:rPr>
              <w:t xml:space="preserve"> </w:t>
            </w:r>
            <w:proofErr w:type="spellStart"/>
            <w:r w:rsidRPr="00C25FCB">
              <w:rPr>
                <w:sz w:val="22"/>
                <w:szCs w:val="20"/>
                <w:u w:val="single"/>
              </w:rPr>
              <w:t>tos</w:t>
            </w:r>
            <w:proofErr w:type="spellEnd"/>
            <w:r w:rsidRPr="00C25FCB">
              <w:rPr>
                <w:sz w:val="22"/>
                <w:szCs w:val="20"/>
              </w:rPr>
              <w:t xml:space="preserve"> </w:t>
            </w:r>
            <w:proofErr w:type="spellStart"/>
            <w:r w:rsidRPr="00C25FCB">
              <w:rPr>
                <w:sz w:val="22"/>
                <w:szCs w:val="20"/>
              </w:rPr>
              <w:t>piedāvājumus</w:t>
            </w:r>
            <w:proofErr w:type="spellEnd"/>
            <w:r w:rsidRPr="00C25FCB">
              <w:rPr>
                <w:sz w:val="22"/>
                <w:szCs w:val="20"/>
              </w:rPr>
              <w:t xml:space="preserve">, </w:t>
            </w:r>
            <w:proofErr w:type="spellStart"/>
            <w:r w:rsidRPr="00C25FCB">
              <w:rPr>
                <w:sz w:val="22"/>
                <w:szCs w:val="20"/>
              </w:rPr>
              <w:t>kuru</w:t>
            </w:r>
            <w:proofErr w:type="spellEnd"/>
            <w:r w:rsidRPr="00C25FCB">
              <w:rPr>
                <w:sz w:val="22"/>
                <w:szCs w:val="20"/>
              </w:rPr>
              <w:t xml:space="preserve"> </w:t>
            </w:r>
            <w:proofErr w:type="spellStart"/>
            <w:r w:rsidRPr="00C25FCB">
              <w:rPr>
                <w:sz w:val="22"/>
                <w:szCs w:val="20"/>
              </w:rPr>
              <w:t>Finanšu</w:t>
            </w:r>
            <w:proofErr w:type="spellEnd"/>
            <w:r w:rsidRPr="00C25FCB">
              <w:rPr>
                <w:sz w:val="22"/>
                <w:szCs w:val="20"/>
              </w:rPr>
              <w:t xml:space="preserve"> </w:t>
            </w:r>
            <w:proofErr w:type="spellStart"/>
            <w:r w:rsidRPr="00C25FCB">
              <w:rPr>
                <w:sz w:val="22"/>
                <w:szCs w:val="20"/>
              </w:rPr>
              <w:t>piedāvājums</w:t>
            </w:r>
            <w:proofErr w:type="spellEnd"/>
            <w:r w:rsidRPr="00C25FCB">
              <w:rPr>
                <w:sz w:val="22"/>
                <w:szCs w:val="20"/>
              </w:rPr>
              <w:t xml:space="preserve"> </w:t>
            </w:r>
            <w:proofErr w:type="spellStart"/>
            <w:r w:rsidRPr="00C25FCB">
              <w:rPr>
                <w:sz w:val="22"/>
                <w:szCs w:val="20"/>
              </w:rPr>
              <w:t>pārsniedz</w:t>
            </w:r>
            <w:proofErr w:type="spellEnd"/>
            <w:r w:rsidRPr="00C25FCB">
              <w:rPr>
                <w:sz w:val="22"/>
                <w:szCs w:val="20"/>
              </w:rPr>
              <w:t xml:space="preserve"> </w:t>
            </w:r>
            <w:proofErr w:type="spellStart"/>
            <w:r w:rsidRPr="00C25FCB">
              <w:rPr>
                <w:sz w:val="22"/>
                <w:szCs w:val="20"/>
              </w:rPr>
              <w:t>nolikuma</w:t>
            </w:r>
            <w:proofErr w:type="spellEnd"/>
            <w:r w:rsidRPr="00C25FCB">
              <w:rPr>
                <w:sz w:val="22"/>
                <w:szCs w:val="20"/>
              </w:rPr>
              <w:t xml:space="preserve"> 1.9.punktā </w:t>
            </w:r>
            <w:proofErr w:type="spellStart"/>
            <w:r w:rsidRPr="00C25FCB">
              <w:rPr>
                <w:sz w:val="22"/>
                <w:szCs w:val="20"/>
              </w:rPr>
              <w:t>minēto</w:t>
            </w:r>
            <w:proofErr w:type="spellEnd"/>
            <w:r w:rsidRPr="00C25FCB">
              <w:rPr>
                <w:sz w:val="22"/>
                <w:szCs w:val="20"/>
              </w:rPr>
              <w:t xml:space="preserve"> </w:t>
            </w:r>
            <w:proofErr w:type="spellStart"/>
            <w:r w:rsidRPr="00C25FCB">
              <w:rPr>
                <w:sz w:val="22"/>
                <w:szCs w:val="20"/>
              </w:rPr>
              <w:t>paredzamo</w:t>
            </w:r>
            <w:proofErr w:type="spellEnd"/>
            <w:r w:rsidRPr="00C25FCB">
              <w:rPr>
                <w:sz w:val="22"/>
                <w:szCs w:val="20"/>
              </w:rPr>
              <w:t xml:space="preserve"> </w:t>
            </w:r>
            <w:proofErr w:type="spellStart"/>
            <w:r w:rsidRPr="00C25FCB">
              <w:rPr>
                <w:sz w:val="22"/>
                <w:szCs w:val="20"/>
              </w:rPr>
              <w:t>līgumcenu</w:t>
            </w:r>
            <w:proofErr w:type="spellEnd"/>
            <w:r w:rsidRPr="00C25FCB">
              <w:rPr>
                <w:sz w:val="22"/>
                <w:szCs w:val="20"/>
              </w:rPr>
              <w:t xml:space="preserve"> </w:t>
            </w:r>
            <w:proofErr w:type="spellStart"/>
            <w:r w:rsidRPr="00C25FCB">
              <w:rPr>
                <w:sz w:val="22"/>
                <w:szCs w:val="20"/>
              </w:rPr>
              <w:t>attiecībā</w:t>
            </w:r>
            <w:proofErr w:type="spellEnd"/>
            <w:r w:rsidRPr="00C25FCB">
              <w:rPr>
                <w:sz w:val="22"/>
                <w:szCs w:val="20"/>
              </w:rPr>
              <w:t xml:space="preserve"> </w:t>
            </w:r>
            <w:proofErr w:type="spellStart"/>
            <w:r w:rsidRPr="00C25FCB">
              <w:rPr>
                <w:sz w:val="22"/>
                <w:szCs w:val="20"/>
                <w:u w:val="single"/>
              </w:rPr>
              <w:t>tikai</w:t>
            </w:r>
            <w:proofErr w:type="spellEnd"/>
            <w:r w:rsidRPr="00C25FCB">
              <w:rPr>
                <w:sz w:val="22"/>
                <w:szCs w:val="20"/>
                <w:u w:val="single"/>
              </w:rPr>
              <w:t xml:space="preserve"> </w:t>
            </w:r>
            <w:proofErr w:type="spellStart"/>
            <w:r w:rsidRPr="00C25FCB">
              <w:rPr>
                <w:sz w:val="22"/>
                <w:szCs w:val="20"/>
                <w:u w:val="single"/>
              </w:rPr>
              <w:t>uz</w:t>
            </w:r>
            <w:proofErr w:type="spellEnd"/>
            <w:r w:rsidRPr="00C25FCB">
              <w:rPr>
                <w:sz w:val="22"/>
                <w:szCs w:val="20"/>
              </w:rPr>
              <w:t xml:space="preserve"> </w:t>
            </w:r>
            <w:proofErr w:type="spellStart"/>
            <w:r w:rsidRPr="00C25FCB">
              <w:rPr>
                <w:sz w:val="22"/>
                <w:szCs w:val="20"/>
              </w:rPr>
              <w:t>Tehniskās</w:t>
            </w:r>
            <w:proofErr w:type="spellEnd"/>
            <w:r w:rsidRPr="00C25FCB">
              <w:rPr>
                <w:sz w:val="22"/>
                <w:szCs w:val="20"/>
              </w:rPr>
              <w:t xml:space="preserve"> </w:t>
            </w:r>
            <w:proofErr w:type="spellStart"/>
            <w:r w:rsidRPr="00C25FCB">
              <w:rPr>
                <w:sz w:val="22"/>
                <w:szCs w:val="20"/>
              </w:rPr>
              <w:t>specifikācijas</w:t>
            </w:r>
            <w:proofErr w:type="spellEnd"/>
            <w:r w:rsidRPr="00C25FCB">
              <w:rPr>
                <w:sz w:val="22"/>
                <w:szCs w:val="20"/>
              </w:rPr>
              <w:t xml:space="preserve"> (</w:t>
            </w:r>
            <w:proofErr w:type="spellStart"/>
            <w:r w:rsidRPr="00C25FCB">
              <w:rPr>
                <w:sz w:val="22"/>
                <w:szCs w:val="20"/>
              </w:rPr>
              <w:t>nolikuma</w:t>
            </w:r>
            <w:proofErr w:type="spellEnd"/>
            <w:r w:rsidRPr="00C25FCB">
              <w:rPr>
                <w:sz w:val="22"/>
                <w:szCs w:val="20"/>
              </w:rPr>
              <w:t xml:space="preserve"> </w:t>
            </w:r>
            <w:proofErr w:type="spellStart"/>
            <w:r w:rsidRPr="00C25FCB">
              <w:rPr>
                <w:sz w:val="22"/>
                <w:szCs w:val="20"/>
              </w:rPr>
              <w:t>pielikums</w:t>
            </w:r>
            <w:proofErr w:type="spellEnd"/>
            <w:r w:rsidRPr="00C25FCB">
              <w:rPr>
                <w:sz w:val="22"/>
                <w:szCs w:val="20"/>
              </w:rPr>
              <w:t xml:space="preserve"> Nr.2) 1.1.-1.3. (</w:t>
            </w:r>
            <w:proofErr w:type="spellStart"/>
            <w:proofErr w:type="gramStart"/>
            <w:r w:rsidRPr="00C25FCB">
              <w:rPr>
                <w:sz w:val="22"/>
                <w:szCs w:val="20"/>
              </w:rPr>
              <w:t>ieskaitot</w:t>
            </w:r>
            <w:proofErr w:type="spellEnd"/>
            <w:proofErr w:type="gramEnd"/>
            <w:r w:rsidRPr="00C25FCB">
              <w:rPr>
                <w:sz w:val="22"/>
                <w:szCs w:val="20"/>
              </w:rPr>
              <w:t xml:space="preserve">) </w:t>
            </w:r>
            <w:proofErr w:type="spellStart"/>
            <w:r w:rsidRPr="00C25FCB">
              <w:rPr>
                <w:sz w:val="22"/>
                <w:szCs w:val="20"/>
              </w:rPr>
              <w:t>punkta</w:t>
            </w:r>
            <w:proofErr w:type="spellEnd"/>
            <w:r w:rsidRPr="00C25FCB">
              <w:rPr>
                <w:sz w:val="22"/>
                <w:szCs w:val="20"/>
              </w:rPr>
              <w:t xml:space="preserve"> </w:t>
            </w:r>
            <w:proofErr w:type="spellStart"/>
            <w:r w:rsidRPr="00C25FCB">
              <w:rPr>
                <w:sz w:val="22"/>
                <w:szCs w:val="20"/>
              </w:rPr>
              <w:t>iepirkuma</w:t>
            </w:r>
            <w:proofErr w:type="spellEnd"/>
            <w:r w:rsidRPr="00C25FCB">
              <w:rPr>
                <w:sz w:val="22"/>
                <w:szCs w:val="20"/>
              </w:rPr>
              <w:t xml:space="preserve"> </w:t>
            </w:r>
            <w:proofErr w:type="spellStart"/>
            <w:r w:rsidRPr="00C25FCB">
              <w:rPr>
                <w:sz w:val="22"/>
                <w:szCs w:val="20"/>
              </w:rPr>
              <w:t>priekšmeta</w:t>
            </w:r>
            <w:proofErr w:type="spellEnd"/>
            <w:r w:rsidRPr="00C25FCB">
              <w:rPr>
                <w:sz w:val="22"/>
                <w:szCs w:val="20"/>
              </w:rPr>
              <w:t xml:space="preserve"> </w:t>
            </w:r>
            <w:proofErr w:type="spellStart"/>
            <w:r w:rsidRPr="00C25FCB">
              <w:rPr>
                <w:sz w:val="22"/>
                <w:szCs w:val="20"/>
              </w:rPr>
              <w:t>pozīcijām</w:t>
            </w:r>
            <w:proofErr w:type="spellEnd"/>
            <w:r w:rsidRPr="00C25FCB">
              <w:rPr>
                <w:sz w:val="22"/>
                <w:szCs w:val="20"/>
              </w:rPr>
              <w:t>?</w:t>
            </w:r>
          </w:p>
          <w:p w:rsidR="00363607" w:rsidRPr="00C25FCB" w:rsidRDefault="00363607" w:rsidP="009A58FC">
            <w:pPr>
              <w:contextualSpacing/>
              <w:jc w:val="both"/>
              <w:rPr>
                <w:sz w:val="22"/>
                <w:szCs w:val="20"/>
              </w:rPr>
            </w:pPr>
          </w:p>
          <w:p w:rsidR="00363607" w:rsidRPr="00C25FCB" w:rsidRDefault="00363607" w:rsidP="009A58FC">
            <w:pPr>
              <w:contextualSpacing/>
              <w:jc w:val="both"/>
              <w:rPr>
                <w:sz w:val="22"/>
                <w:szCs w:val="20"/>
              </w:rPr>
            </w:pPr>
            <w:proofErr w:type="spellStart"/>
            <w:r w:rsidRPr="00C25FCB">
              <w:rPr>
                <w:sz w:val="22"/>
                <w:szCs w:val="20"/>
              </w:rPr>
              <w:t>Ņemot</w:t>
            </w:r>
            <w:proofErr w:type="spellEnd"/>
            <w:r w:rsidRPr="00C25FCB">
              <w:rPr>
                <w:sz w:val="22"/>
                <w:szCs w:val="20"/>
              </w:rPr>
              <w:t xml:space="preserve"> </w:t>
            </w:r>
            <w:proofErr w:type="spellStart"/>
            <w:r w:rsidRPr="00C25FCB">
              <w:rPr>
                <w:sz w:val="22"/>
                <w:szCs w:val="20"/>
              </w:rPr>
              <w:t>vērā</w:t>
            </w:r>
            <w:proofErr w:type="spellEnd"/>
            <w:r w:rsidRPr="00C25FCB">
              <w:rPr>
                <w:sz w:val="22"/>
                <w:szCs w:val="20"/>
              </w:rPr>
              <w:t xml:space="preserve"> </w:t>
            </w:r>
            <w:proofErr w:type="spellStart"/>
            <w:r w:rsidRPr="00C25FCB">
              <w:rPr>
                <w:sz w:val="22"/>
                <w:szCs w:val="20"/>
              </w:rPr>
              <w:t>iepirkuma</w:t>
            </w:r>
            <w:proofErr w:type="spellEnd"/>
            <w:r w:rsidRPr="00C25FCB">
              <w:rPr>
                <w:sz w:val="22"/>
                <w:szCs w:val="20"/>
              </w:rPr>
              <w:t xml:space="preserve"> </w:t>
            </w:r>
            <w:proofErr w:type="spellStart"/>
            <w:r w:rsidRPr="00C25FCB">
              <w:rPr>
                <w:sz w:val="22"/>
                <w:szCs w:val="20"/>
              </w:rPr>
              <w:t>piedāvājuma</w:t>
            </w:r>
            <w:proofErr w:type="spellEnd"/>
            <w:r w:rsidRPr="00C25FCB">
              <w:rPr>
                <w:sz w:val="22"/>
                <w:szCs w:val="20"/>
              </w:rPr>
              <w:t xml:space="preserve"> </w:t>
            </w:r>
            <w:proofErr w:type="spellStart"/>
            <w:r w:rsidRPr="00C25FCB">
              <w:rPr>
                <w:sz w:val="22"/>
                <w:szCs w:val="20"/>
              </w:rPr>
              <w:t>izvēli</w:t>
            </w:r>
            <w:proofErr w:type="spellEnd"/>
            <w:r w:rsidRPr="00C25FCB">
              <w:rPr>
                <w:sz w:val="22"/>
                <w:szCs w:val="20"/>
              </w:rPr>
              <w:t xml:space="preserve"> </w:t>
            </w:r>
            <w:proofErr w:type="spellStart"/>
            <w:r w:rsidRPr="00C25FCB">
              <w:rPr>
                <w:sz w:val="22"/>
                <w:szCs w:val="20"/>
              </w:rPr>
              <w:t>pēc</w:t>
            </w:r>
            <w:proofErr w:type="spellEnd"/>
            <w:r w:rsidRPr="00C25FCB">
              <w:rPr>
                <w:sz w:val="22"/>
                <w:szCs w:val="20"/>
              </w:rPr>
              <w:t xml:space="preserve"> </w:t>
            </w:r>
            <w:proofErr w:type="spellStart"/>
            <w:r w:rsidRPr="00C25FCB">
              <w:rPr>
                <w:sz w:val="22"/>
                <w:szCs w:val="20"/>
              </w:rPr>
              <w:t>saimnieciski</w:t>
            </w:r>
            <w:proofErr w:type="spellEnd"/>
            <w:r w:rsidRPr="00C25FCB">
              <w:rPr>
                <w:sz w:val="22"/>
                <w:szCs w:val="20"/>
              </w:rPr>
              <w:t xml:space="preserve"> </w:t>
            </w:r>
            <w:proofErr w:type="spellStart"/>
            <w:r w:rsidRPr="00C25FCB">
              <w:rPr>
                <w:sz w:val="22"/>
                <w:szCs w:val="20"/>
              </w:rPr>
              <w:t>visizdevīgākā</w:t>
            </w:r>
            <w:proofErr w:type="spellEnd"/>
            <w:r w:rsidRPr="00C25FCB">
              <w:rPr>
                <w:sz w:val="22"/>
                <w:szCs w:val="20"/>
              </w:rPr>
              <w:t xml:space="preserve"> </w:t>
            </w:r>
            <w:proofErr w:type="spellStart"/>
            <w:r w:rsidRPr="00C25FCB">
              <w:rPr>
                <w:sz w:val="22"/>
                <w:szCs w:val="20"/>
              </w:rPr>
              <w:t>piedāvājuma</w:t>
            </w:r>
            <w:proofErr w:type="spellEnd"/>
            <w:r w:rsidRPr="00C25FCB">
              <w:rPr>
                <w:sz w:val="22"/>
                <w:szCs w:val="20"/>
              </w:rPr>
              <w:t xml:space="preserve"> (9.1.punkts), </w:t>
            </w:r>
            <w:proofErr w:type="spellStart"/>
            <w:r w:rsidRPr="00C25FCB">
              <w:rPr>
                <w:sz w:val="22"/>
                <w:szCs w:val="20"/>
              </w:rPr>
              <w:t>vai</w:t>
            </w:r>
            <w:proofErr w:type="spellEnd"/>
            <w:r w:rsidRPr="00C25FCB">
              <w:rPr>
                <w:sz w:val="22"/>
                <w:szCs w:val="20"/>
              </w:rPr>
              <w:t xml:space="preserve"> </w:t>
            </w:r>
            <w:proofErr w:type="spellStart"/>
            <w:r w:rsidRPr="00C25FCB">
              <w:rPr>
                <w:sz w:val="22"/>
                <w:szCs w:val="20"/>
              </w:rPr>
              <w:t>pretendents</w:t>
            </w:r>
            <w:proofErr w:type="spellEnd"/>
            <w:r w:rsidRPr="00C25FCB">
              <w:rPr>
                <w:sz w:val="22"/>
                <w:szCs w:val="20"/>
              </w:rPr>
              <w:t xml:space="preserve"> </w:t>
            </w:r>
            <w:proofErr w:type="spellStart"/>
            <w:r w:rsidRPr="00C25FCB">
              <w:rPr>
                <w:sz w:val="22"/>
                <w:szCs w:val="20"/>
              </w:rPr>
              <w:t>pareizi</w:t>
            </w:r>
            <w:proofErr w:type="spellEnd"/>
            <w:r w:rsidRPr="00C25FCB">
              <w:rPr>
                <w:sz w:val="22"/>
                <w:szCs w:val="20"/>
              </w:rPr>
              <w:t xml:space="preserve"> </w:t>
            </w:r>
            <w:proofErr w:type="spellStart"/>
            <w:r w:rsidRPr="00C25FCB">
              <w:rPr>
                <w:sz w:val="22"/>
                <w:szCs w:val="20"/>
              </w:rPr>
              <w:t>izprot</w:t>
            </w:r>
            <w:proofErr w:type="spellEnd"/>
            <w:r w:rsidRPr="00C25FCB">
              <w:rPr>
                <w:sz w:val="22"/>
                <w:szCs w:val="20"/>
              </w:rPr>
              <w:t xml:space="preserve">, </w:t>
            </w:r>
            <w:proofErr w:type="spellStart"/>
            <w:r w:rsidRPr="00C25FCB">
              <w:rPr>
                <w:sz w:val="22"/>
                <w:szCs w:val="20"/>
              </w:rPr>
              <w:t>ka</w:t>
            </w:r>
            <w:proofErr w:type="spellEnd"/>
            <w:r w:rsidRPr="00C25FCB">
              <w:rPr>
                <w:sz w:val="22"/>
                <w:szCs w:val="20"/>
              </w:rPr>
              <w:t xml:space="preserve"> </w:t>
            </w:r>
            <w:proofErr w:type="spellStart"/>
            <w:r w:rsidRPr="00C25FCB">
              <w:rPr>
                <w:sz w:val="22"/>
                <w:szCs w:val="20"/>
              </w:rPr>
              <w:t>komisija</w:t>
            </w:r>
            <w:proofErr w:type="spellEnd"/>
            <w:r w:rsidRPr="00C25FCB">
              <w:rPr>
                <w:sz w:val="22"/>
                <w:szCs w:val="20"/>
              </w:rPr>
              <w:t xml:space="preserve"> </w:t>
            </w:r>
            <w:proofErr w:type="spellStart"/>
            <w:r w:rsidRPr="00C25FCB">
              <w:rPr>
                <w:sz w:val="22"/>
                <w:szCs w:val="20"/>
                <w:u w:val="single"/>
              </w:rPr>
              <w:t>neizmantos</w:t>
            </w:r>
            <w:proofErr w:type="spellEnd"/>
            <w:r w:rsidRPr="00C25FCB">
              <w:rPr>
                <w:sz w:val="22"/>
                <w:szCs w:val="20"/>
              </w:rPr>
              <w:t xml:space="preserve"> </w:t>
            </w:r>
            <w:proofErr w:type="spellStart"/>
            <w:r w:rsidRPr="00C25FCB">
              <w:rPr>
                <w:sz w:val="22"/>
                <w:szCs w:val="20"/>
              </w:rPr>
              <w:t>tiesības</w:t>
            </w:r>
            <w:proofErr w:type="spellEnd"/>
            <w:r w:rsidRPr="00C25FCB">
              <w:rPr>
                <w:sz w:val="22"/>
                <w:szCs w:val="20"/>
              </w:rPr>
              <w:t xml:space="preserve"> </w:t>
            </w:r>
            <w:proofErr w:type="spellStart"/>
            <w:r w:rsidRPr="00C25FCB">
              <w:rPr>
                <w:sz w:val="22"/>
                <w:szCs w:val="20"/>
              </w:rPr>
              <w:t>izskatīt</w:t>
            </w:r>
            <w:proofErr w:type="spellEnd"/>
            <w:r w:rsidRPr="00C25FCB">
              <w:rPr>
                <w:sz w:val="22"/>
                <w:szCs w:val="20"/>
              </w:rPr>
              <w:t xml:space="preserve"> </w:t>
            </w:r>
            <w:proofErr w:type="spellStart"/>
            <w:r w:rsidRPr="00C25FCB">
              <w:rPr>
                <w:sz w:val="22"/>
                <w:szCs w:val="20"/>
              </w:rPr>
              <w:t>tikai</w:t>
            </w:r>
            <w:proofErr w:type="spellEnd"/>
            <w:r w:rsidRPr="00C25FCB">
              <w:rPr>
                <w:sz w:val="22"/>
                <w:szCs w:val="20"/>
              </w:rPr>
              <w:t xml:space="preserve"> to </w:t>
            </w:r>
            <w:proofErr w:type="spellStart"/>
            <w:r w:rsidRPr="00C25FCB">
              <w:rPr>
                <w:sz w:val="22"/>
                <w:szCs w:val="20"/>
              </w:rPr>
              <w:t>Finanšu</w:t>
            </w:r>
            <w:proofErr w:type="spellEnd"/>
            <w:r w:rsidRPr="00C25FCB">
              <w:rPr>
                <w:sz w:val="22"/>
                <w:szCs w:val="20"/>
              </w:rPr>
              <w:t xml:space="preserve"> </w:t>
            </w:r>
            <w:proofErr w:type="spellStart"/>
            <w:r w:rsidRPr="00C25FCB">
              <w:rPr>
                <w:sz w:val="22"/>
                <w:szCs w:val="20"/>
              </w:rPr>
              <w:t>piedāvājumu</w:t>
            </w:r>
            <w:proofErr w:type="spellEnd"/>
            <w:r w:rsidRPr="00C25FCB">
              <w:rPr>
                <w:sz w:val="22"/>
                <w:szCs w:val="20"/>
              </w:rPr>
              <w:t xml:space="preserve">, </w:t>
            </w:r>
            <w:proofErr w:type="spellStart"/>
            <w:r w:rsidRPr="00C25FCB">
              <w:rPr>
                <w:sz w:val="22"/>
                <w:szCs w:val="20"/>
              </w:rPr>
              <w:t>kurš</w:t>
            </w:r>
            <w:proofErr w:type="spellEnd"/>
            <w:r w:rsidRPr="00C25FCB">
              <w:rPr>
                <w:sz w:val="22"/>
                <w:szCs w:val="20"/>
              </w:rPr>
              <w:t xml:space="preserve"> </w:t>
            </w:r>
            <w:proofErr w:type="spellStart"/>
            <w:r w:rsidRPr="00C25FCB">
              <w:rPr>
                <w:sz w:val="22"/>
                <w:szCs w:val="20"/>
              </w:rPr>
              <w:t>ir</w:t>
            </w:r>
            <w:proofErr w:type="spellEnd"/>
            <w:r w:rsidRPr="00C25FCB">
              <w:rPr>
                <w:sz w:val="22"/>
                <w:szCs w:val="20"/>
              </w:rPr>
              <w:t xml:space="preserve"> </w:t>
            </w:r>
            <w:proofErr w:type="spellStart"/>
            <w:r w:rsidRPr="00C25FCB">
              <w:rPr>
                <w:sz w:val="22"/>
                <w:szCs w:val="20"/>
              </w:rPr>
              <w:t>lētākais</w:t>
            </w:r>
            <w:proofErr w:type="spellEnd"/>
            <w:r w:rsidRPr="00C25FCB">
              <w:rPr>
                <w:sz w:val="22"/>
                <w:szCs w:val="20"/>
              </w:rPr>
              <w:t xml:space="preserve">? Jo </w:t>
            </w:r>
            <w:proofErr w:type="spellStart"/>
            <w:r w:rsidRPr="00C25FCB">
              <w:rPr>
                <w:sz w:val="22"/>
                <w:szCs w:val="20"/>
              </w:rPr>
              <w:t>pretējā</w:t>
            </w:r>
            <w:proofErr w:type="spellEnd"/>
            <w:r w:rsidRPr="00C25FCB">
              <w:rPr>
                <w:sz w:val="22"/>
                <w:szCs w:val="20"/>
              </w:rPr>
              <w:t xml:space="preserve"> </w:t>
            </w:r>
            <w:proofErr w:type="spellStart"/>
            <w:r w:rsidRPr="00C25FCB">
              <w:rPr>
                <w:sz w:val="22"/>
                <w:szCs w:val="20"/>
              </w:rPr>
              <w:t>gadījumā</w:t>
            </w:r>
            <w:proofErr w:type="spellEnd"/>
            <w:r w:rsidRPr="00C25FCB">
              <w:rPr>
                <w:sz w:val="22"/>
                <w:szCs w:val="20"/>
              </w:rPr>
              <w:t xml:space="preserve"> </w:t>
            </w:r>
            <w:proofErr w:type="spellStart"/>
            <w:r w:rsidRPr="00C25FCB">
              <w:rPr>
                <w:sz w:val="22"/>
                <w:szCs w:val="20"/>
              </w:rPr>
              <w:t>tas</w:t>
            </w:r>
            <w:proofErr w:type="spellEnd"/>
            <w:r w:rsidRPr="00C25FCB">
              <w:rPr>
                <w:sz w:val="22"/>
                <w:szCs w:val="20"/>
              </w:rPr>
              <w:t xml:space="preserve"> </w:t>
            </w:r>
            <w:proofErr w:type="spellStart"/>
            <w:r w:rsidRPr="00C25FCB">
              <w:rPr>
                <w:sz w:val="22"/>
                <w:szCs w:val="20"/>
              </w:rPr>
              <w:t>būtu</w:t>
            </w:r>
            <w:proofErr w:type="spellEnd"/>
            <w:r w:rsidRPr="00C25FCB">
              <w:rPr>
                <w:sz w:val="22"/>
                <w:szCs w:val="20"/>
              </w:rPr>
              <w:t xml:space="preserve"> </w:t>
            </w:r>
            <w:proofErr w:type="spellStart"/>
            <w:r w:rsidRPr="00C25FCB">
              <w:rPr>
                <w:sz w:val="22"/>
                <w:szCs w:val="20"/>
              </w:rPr>
              <w:t>pretrunā</w:t>
            </w:r>
            <w:proofErr w:type="spellEnd"/>
            <w:r w:rsidRPr="00C25FCB">
              <w:rPr>
                <w:sz w:val="22"/>
                <w:szCs w:val="20"/>
              </w:rPr>
              <w:t xml:space="preserve"> </w:t>
            </w:r>
            <w:proofErr w:type="spellStart"/>
            <w:r w:rsidRPr="00C25FCB">
              <w:rPr>
                <w:sz w:val="22"/>
                <w:szCs w:val="20"/>
              </w:rPr>
              <w:t>ar</w:t>
            </w:r>
            <w:proofErr w:type="spellEnd"/>
            <w:r w:rsidRPr="00C25FCB">
              <w:rPr>
                <w:sz w:val="22"/>
                <w:szCs w:val="20"/>
              </w:rPr>
              <w:t xml:space="preserve"> </w:t>
            </w:r>
            <w:proofErr w:type="spellStart"/>
            <w:r w:rsidRPr="00C25FCB">
              <w:rPr>
                <w:sz w:val="22"/>
                <w:szCs w:val="20"/>
              </w:rPr>
              <w:t>atklāta</w:t>
            </w:r>
            <w:proofErr w:type="spellEnd"/>
            <w:r w:rsidRPr="00C25FCB">
              <w:rPr>
                <w:sz w:val="22"/>
                <w:szCs w:val="20"/>
              </w:rPr>
              <w:t xml:space="preserve"> </w:t>
            </w:r>
            <w:proofErr w:type="spellStart"/>
            <w:r w:rsidRPr="00C25FCB">
              <w:rPr>
                <w:sz w:val="22"/>
                <w:szCs w:val="20"/>
              </w:rPr>
              <w:t>konkursa</w:t>
            </w:r>
            <w:proofErr w:type="spellEnd"/>
            <w:r w:rsidRPr="00C25FCB">
              <w:rPr>
                <w:sz w:val="22"/>
                <w:szCs w:val="20"/>
              </w:rPr>
              <w:t xml:space="preserve"> </w:t>
            </w:r>
            <w:proofErr w:type="spellStart"/>
            <w:r w:rsidRPr="00C25FCB">
              <w:rPr>
                <w:sz w:val="22"/>
                <w:szCs w:val="20"/>
              </w:rPr>
              <w:t>nolikuma</w:t>
            </w:r>
            <w:proofErr w:type="spellEnd"/>
            <w:r w:rsidRPr="00C25FCB">
              <w:rPr>
                <w:sz w:val="22"/>
                <w:szCs w:val="20"/>
              </w:rPr>
              <w:t xml:space="preserve"> “9. </w:t>
            </w:r>
            <w:proofErr w:type="spellStart"/>
            <w:proofErr w:type="gramStart"/>
            <w:r w:rsidRPr="00C25FCB">
              <w:rPr>
                <w:sz w:val="22"/>
                <w:szCs w:val="20"/>
              </w:rPr>
              <w:t>piedāvājuma</w:t>
            </w:r>
            <w:proofErr w:type="spellEnd"/>
            <w:proofErr w:type="gramEnd"/>
            <w:r w:rsidRPr="00C25FCB">
              <w:rPr>
                <w:sz w:val="22"/>
                <w:szCs w:val="20"/>
              </w:rPr>
              <w:t xml:space="preserve"> </w:t>
            </w:r>
            <w:proofErr w:type="spellStart"/>
            <w:r w:rsidRPr="00C25FCB">
              <w:rPr>
                <w:sz w:val="22"/>
                <w:szCs w:val="20"/>
              </w:rPr>
              <w:t>izvēle</w:t>
            </w:r>
            <w:proofErr w:type="spellEnd"/>
            <w:r w:rsidRPr="00C25FCB">
              <w:rPr>
                <w:sz w:val="22"/>
                <w:szCs w:val="20"/>
              </w:rPr>
              <w:t xml:space="preserve">” </w:t>
            </w:r>
            <w:proofErr w:type="spellStart"/>
            <w:r w:rsidRPr="00C25FCB">
              <w:rPr>
                <w:sz w:val="22"/>
                <w:szCs w:val="20"/>
              </w:rPr>
              <w:t>kritērijiem</w:t>
            </w:r>
            <w:proofErr w:type="spellEnd"/>
            <w:r w:rsidRPr="00C25FCB">
              <w:rPr>
                <w:sz w:val="22"/>
                <w:szCs w:val="20"/>
              </w:rPr>
              <w:t xml:space="preserve"> un </w:t>
            </w:r>
            <w:proofErr w:type="spellStart"/>
            <w:r w:rsidRPr="00C25FCB">
              <w:rPr>
                <w:sz w:val="22"/>
                <w:szCs w:val="20"/>
              </w:rPr>
              <w:t>netiktu</w:t>
            </w:r>
            <w:proofErr w:type="spellEnd"/>
            <w:r w:rsidRPr="00C25FCB">
              <w:rPr>
                <w:sz w:val="22"/>
                <w:szCs w:val="20"/>
              </w:rPr>
              <w:t xml:space="preserve"> </w:t>
            </w:r>
            <w:proofErr w:type="spellStart"/>
            <w:r w:rsidRPr="00C25FCB">
              <w:rPr>
                <w:sz w:val="22"/>
                <w:szCs w:val="20"/>
              </w:rPr>
              <w:t>ievērots</w:t>
            </w:r>
            <w:proofErr w:type="spellEnd"/>
            <w:r w:rsidRPr="00C25FCB">
              <w:rPr>
                <w:sz w:val="22"/>
                <w:szCs w:val="20"/>
              </w:rPr>
              <w:t xml:space="preserve"> </w:t>
            </w:r>
            <w:proofErr w:type="spellStart"/>
            <w:r w:rsidRPr="00C25FCB">
              <w:rPr>
                <w:sz w:val="22"/>
                <w:szCs w:val="20"/>
              </w:rPr>
              <w:t>saimnieciski</w:t>
            </w:r>
            <w:proofErr w:type="spellEnd"/>
            <w:r w:rsidRPr="00C25FCB">
              <w:rPr>
                <w:sz w:val="22"/>
                <w:szCs w:val="20"/>
              </w:rPr>
              <w:t xml:space="preserve"> </w:t>
            </w:r>
            <w:proofErr w:type="spellStart"/>
            <w:r w:rsidRPr="00C25FCB">
              <w:rPr>
                <w:sz w:val="22"/>
                <w:szCs w:val="20"/>
              </w:rPr>
              <w:t>visizdevīgākā</w:t>
            </w:r>
            <w:proofErr w:type="spellEnd"/>
            <w:r w:rsidRPr="00C25FCB">
              <w:rPr>
                <w:sz w:val="22"/>
                <w:szCs w:val="20"/>
              </w:rPr>
              <w:t xml:space="preserve"> </w:t>
            </w:r>
            <w:proofErr w:type="spellStart"/>
            <w:r w:rsidRPr="00C25FCB">
              <w:rPr>
                <w:sz w:val="22"/>
                <w:szCs w:val="20"/>
              </w:rPr>
              <w:t>piedāvājuma</w:t>
            </w:r>
            <w:proofErr w:type="spellEnd"/>
            <w:r w:rsidRPr="00C25FCB">
              <w:rPr>
                <w:sz w:val="22"/>
                <w:szCs w:val="20"/>
              </w:rPr>
              <w:t xml:space="preserve"> </w:t>
            </w:r>
            <w:proofErr w:type="spellStart"/>
            <w:r w:rsidRPr="00C25FCB">
              <w:rPr>
                <w:sz w:val="22"/>
                <w:szCs w:val="20"/>
              </w:rPr>
              <w:t>izvēles</w:t>
            </w:r>
            <w:proofErr w:type="spellEnd"/>
            <w:r w:rsidRPr="00C25FCB">
              <w:rPr>
                <w:sz w:val="22"/>
                <w:szCs w:val="20"/>
              </w:rPr>
              <w:t xml:space="preserve"> </w:t>
            </w:r>
            <w:proofErr w:type="spellStart"/>
            <w:r w:rsidRPr="00C25FCB">
              <w:rPr>
                <w:sz w:val="22"/>
                <w:szCs w:val="20"/>
              </w:rPr>
              <w:t>princips</w:t>
            </w:r>
            <w:proofErr w:type="spellEnd"/>
            <w:r w:rsidRPr="00C25FCB">
              <w:rPr>
                <w:sz w:val="22"/>
                <w:szCs w:val="20"/>
              </w:rPr>
              <w:t>.</w:t>
            </w:r>
          </w:p>
        </w:tc>
      </w:tr>
    </w:tbl>
    <w:p w:rsidR="00D3291D" w:rsidRDefault="00D3291D" w:rsidP="00D3291D">
      <w:pPr>
        <w:jc w:val="both"/>
        <w:rPr>
          <w:sz w:val="22"/>
          <w:szCs w:val="22"/>
          <w:lang w:val="lv-LV"/>
        </w:rPr>
      </w:pPr>
    </w:p>
    <w:p w:rsidR="00B37546" w:rsidRDefault="002B3B01" w:rsidP="00A34948">
      <w:pPr>
        <w:ind w:right="-19"/>
        <w:jc w:val="both"/>
        <w:rPr>
          <w:b/>
          <w:color w:val="000000"/>
          <w:spacing w:val="-8"/>
          <w:sz w:val="22"/>
          <w:szCs w:val="22"/>
          <w:lang w:val="lv-LV"/>
        </w:rPr>
      </w:pPr>
      <w:r>
        <w:rPr>
          <w:b/>
          <w:color w:val="000000"/>
          <w:spacing w:val="-8"/>
          <w:sz w:val="22"/>
          <w:szCs w:val="22"/>
          <w:lang w:val="lv-LV"/>
        </w:rPr>
        <w:t>Atbilde Nr.1</w:t>
      </w:r>
    </w:p>
    <w:p w:rsidR="00A34948" w:rsidRDefault="00A34948" w:rsidP="00A34948">
      <w:pPr>
        <w:ind w:right="-19"/>
        <w:jc w:val="both"/>
        <w:rPr>
          <w:sz w:val="22"/>
          <w:szCs w:val="22"/>
          <w:lang w:val="lv-LV"/>
        </w:rPr>
      </w:pPr>
      <w:r w:rsidRPr="00720DC7">
        <w:rPr>
          <w:sz w:val="22"/>
          <w:szCs w:val="22"/>
          <w:lang w:val="lv-LV"/>
        </w:rPr>
        <w:t xml:space="preserve">Komisijas </w:t>
      </w:r>
      <w:r>
        <w:rPr>
          <w:sz w:val="22"/>
          <w:szCs w:val="22"/>
          <w:lang w:val="lv-LV"/>
        </w:rPr>
        <w:t xml:space="preserve">loceklis A. Celitāns </w:t>
      </w:r>
      <w:r w:rsidRPr="00720DC7">
        <w:rPr>
          <w:sz w:val="22"/>
          <w:szCs w:val="22"/>
          <w:lang w:val="lv-LV"/>
        </w:rPr>
        <w:t xml:space="preserve">informē, ka </w:t>
      </w:r>
      <w:r>
        <w:rPr>
          <w:sz w:val="22"/>
          <w:szCs w:val="22"/>
          <w:lang w:val="lv-LV"/>
        </w:rPr>
        <w:t>ir pamatojoties uz pretendenta jautājumu konstatēta neprecizitāte nolikuma</w:t>
      </w:r>
      <w:r w:rsidRPr="003C3D58">
        <w:rPr>
          <w:sz w:val="22"/>
          <w:szCs w:val="22"/>
          <w:lang w:val="lv-LV"/>
        </w:rPr>
        <w:t xml:space="preserve"> </w:t>
      </w:r>
      <w:r w:rsidR="00BE2A51">
        <w:rPr>
          <w:sz w:val="22"/>
          <w:szCs w:val="22"/>
          <w:lang w:val="lv-LV"/>
        </w:rPr>
        <w:t>8</w:t>
      </w:r>
      <w:r>
        <w:rPr>
          <w:sz w:val="22"/>
          <w:szCs w:val="22"/>
          <w:lang w:val="lv-LV"/>
        </w:rPr>
        <w:t>.</w:t>
      </w:r>
      <w:r w:rsidR="00BE2A51">
        <w:rPr>
          <w:sz w:val="22"/>
          <w:szCs w:val="22"/>
          <w:lang w:val="lv-LV"/>
        </w:rPr>
        <w:t>5</w:t>
      </w:r>
      <w:r>
        <w:rPr>
          <w:sz w:val="22"/>
          <w:szCs w:val="22"/>
          <w:lang w:val="lv-LV"/>
        </w:rPr>
        <w:t>. punktā</w:t>
      </w:r>
      <w:r w:rsidRPr="00720DC7">
        <w:rPr>
          <w:sz w:val="22"/>
          <w:szCs w:val="22"/>
          <w:lang w:val="lv-LV"/>
        </w:rPr>
        <w:t>.</w:t>
      </w:r>
      <w:r>
        <w:rPr>
          <w:sz w:val="22"/>
          <w:szCs w:val="22"/>
          <w:lang w:val="lv-LV"/>
        </w:rPr>
        <w:t xml:space="preserve"> No</w:t>
      </w:r>
      <w:r w:rsidR="00BE2A51">
        <w:rPr>
          <w:sz w:val="22"/>
          <w:szCs w:val="22"/>
          <w:lang w:val="lv-LV"/>
        </w:rPr>
        <w:t>likuma 8</w:t>
      </w:r>
      <w:r>
        <w:rPr>
          <w:sz w:val="22"/>
          <w:szCs w:val="22"/>
          <w:lang w:val="lv-LV"/>
        </w:rPr>
        <w:t>.</w:t>
      </w:r>
      <w:r w:rsidR="00BE2A51">
        <w:rPr>
          <w:sz w:val="22"/>
          <w:szCs w:val="22"/>
          <w:lang w:val="lv-LV"/>
        </w:rPr>
        <w:t>5</w:t>
      </w:r>
      <w:r>
        <w:rPr>
          <w:sz w:val="22"/>
          <w:szCs w:val="22"/>
          <w:lang w:val="lv-LV"/>
        </w:rPr>
        <w:t>. punkta nepieciešams izslēgt</w:t>
      </w:r>
      <w:r w:rsidR="00AB74B4">
        <w:rPr>
          <w:sz w:val="22"/>
          <w:szCs w:val="22"/>
          <w:lang w:val="lv-LV"/>
        </w:rPr>
        <w:t>,</w:t>
      </w:r>
      <w:r>
        <w:rPr>
          <w:sz w:val="22"/>
          <w:szCs w:val="22"/>
          <w:lang w:val="lv-LV"/>
        </w:rPr>
        <w:t xml:space="preserve"> jo tas ir pretrunā ar saimnieciski izdevīgākā piedāvājuma izvēles kritērija principu</w:t>
      </w:r>
      <w:r w:rsidRPr="00A34948">
        <w:rPr>
          <w:sz w:val="22"/>
          <w:szCs w:val="22"/>
          <w:lang w:val="lv-LV"/>
        </w:rPr>
        <w:t>.</w:t>
      </w:r>
      <w:r>
        <w:rPr>
          <w:sz w:val="22"/>
          <w:szCs w:val="22"/>
          <w:lang w:val="lv-LV"/>
        </w:rPr>
        <w:t xml:space="preserve"> </w:t>
      </w:r>
    </w:p>
    <w:p w:rsidR="00A34948" w:rsidRPr="00551FE9" w:rsidRDefault="00A34948" w:rsidP="00A34948">
      <w:pPr>
        <w:ind w:right="-19"/>
        <w:jc w:val="both"/>
        <w:rPr>
          <w:b/>
          <w:sz w:val="22"/>
          <w:szCs w:val="22"/>
          <w:lang w:val="lv-LV"/>
        </w:rPr>
      </w:pPr>
      <w:r w:rsidRPr="00551FE9">
        <w:rPr>
          <w:b/>
          <w:sz w:val="22"/>
          <w:szCs w:val="22"/>
          <w:lang w:val="lv-LV"/>
        </w:rPr>
        <w:t>Komisija vienbalsīgi nolemj:</w:t>
      </w:r>
    </w:p>
    <w:p w:rsidR="00A34948" w:rsidRPr="00A34948" w:rsidRDefault="00A34948" w:rsidP="00A34948">
      <w:pPr>
        <w:ind w:right="-19"/>
        <w:jc w:val="both"/>
        <w:rPr>
          <w:sz w:val="22"/>
          <w:szCs w:val="22"/>
          <w:lang w:val="lv-LV"/>
        </w:rPr>
      </w:pPr>
      <w:r w:rsidRPr="00A34948">
        <w:rPr>
          <w:sz w:val="22"/>
          <w:szCs w:val="22"/>
          <w:lang w:val="lv-LV"/>
        </w:rPr>
        <w:t xml:space="preserve">Apstiprināt precizējumu </w:t>
      </w:r>
      <w:r w:rsidR="00AB74B4">
        <w:rPr>
          <w:sz w:val="22"/>
          <w:szCs w:val="22"/>
          <w:lang w:val="lv-LV"/>
        </w:rPr>
        <w:t xml:space="preserve">izslēgt </w:t>
      </w:r>
      <w:r w:rsidRPr="00A34948">
        <w:rPr>
          <w:sz w:val="22"/>
          <w:szCs w:val="22"/>
          <w:lang w:val="lv-LV"/>
        </w:rPr>
        <w:t xml:space="preserve">nolikuma </w:t>
      </w:r>
      <w:r w:rsidR="00BE2A51">
        <w:rPr>
          <w:sz w:val="22"/>
          <w:szCs w:val="22"/>
          <w:lang w:val="lv-LV"/>
        </w:rPr>
        <w:t>8</w:t>
      </w:r>
      <w:r>
        <w:rPr>
          <w:sz w:val="22"/>
          <w:szCs w:val="22"/>
          <w:lang w:val="lv-LV"/>
        </w:rPr>
        <w:t>.</w:t>
      </w:r>
      <w:r w:rsidR="00BE2A51">
        <w:rPr>
          <w:sz w:val="22"/>
          <w:szCs w:val="22"/>
          <w:lang w:val="lv-LV"/>
        </w:rPr>
        <w:t>5</w:t>
      </w:r>
      <w:r>
        <w:rPr>
          <w:sz w:val="22"/>
          <w:szCs w:val="22"/>
          <w:lang w:val="lv-LV"/>
        </w:rPr>
        <w:t>. punkt</w:t>
      </w:r>
      <w:r w:rsidR="00AB74B4">
        <w:rPr>
          <w:sz w:val="22"/>
          <w:szCs w:val="22"/>
          <w:lang w:val="lv-LV"/>
        </w:rPr>
        <w:t>u.</w:t>
      </w:r>
    </w:p>
    <w:p w:rsidR="00D3291D" w:rsidRDefault="00D3291D" w:rsidP="00B37546">
      <w:pPr>
        <w:shd w:val="clear" w:color="auto" w:fill="FFFFFF"/>
        <w:tabs>
          <w:tab w:val="left" w:pos="1134"/>
        </w:tabs>
        <w:jc w:val="both"/>
        <w:rPr>
          <w:color w:val="000000"/>
          <w:spacing w:val="-8"/>
          <w:sz w:val="22"/>
          <w:szCs w:val="22"/>
          <w:lang w:val="lv-LV"/>
        </w:rPr>
      </w:pPr>
    </w:p>
    <w:p w:rsidR="00C25FCB" w:rsidRPr="002B3B01" w:rsidRDefault="00C25FCB" w:rsidP="00C25FCB">
      <w:pPr>
        <w:jc w:val="both"/>
        <w:rPr>
          <w:b/>
          <w:sz w:val="22"/>
          <w:szCs w:val="22"/>
          <w:lang w:val="lv-LV"/>
        </w:rPr>
      </w:pPr>
      <w:r>
        <w:rPr>
          <w:b/>
          <w:sz w:val="22"/>
          <w:szCs w:val="22"/>
          <w:lang w:val="lv-LV"/>
        </w:rPr>
        <w:t>Jautājums Nr.2</w:t>
      </w:r>
    </w:p>
    <w:tbl>
      <w:tblPr>
        <w:tblStyle w:val="TableGrid"/>
        <w:tblW w:w="9085" w:type="dxa"/>
        <w:tblLook w:val="04A0" w:firstRow="1" w:lastRow="0" w:firstColumn="1" w:lastColumn="0" w:noHBand="0" w:noVBand="1"/>
      </w:tblPr>
      <w:tblGrid>
        <w:gridCol w:w="616"/>
        <w:gridCol w:w="4419"/>
        <w:gridCol w:w="4050"/>
      </w:tblGrid>
      <w:tr w:rsidR="00C25FCB" w:rsidRPr="00554DDC" w:rsidTr="00C25FCB">
        <w:tc>
          <w:tcPr>
            <w:tcW w:w="5035" w:type="dxa"/>
            <w:gridSpan w:val="2"/>
          </w:tcPr>
          <w:p w:rsidR="00C25FCB" w:rsidRPr="00C25FCB" w:rsidRDefault="00C25FCB" w:rsidP="009A58FC">
            <w:pPr>
              <w:contextualSpacing/>
              <w:rPr>
                <w:b/>
                <w:sz w:val="22"/>
                <w:szCs w:val="20"/>
              </w:rPr>
            </w:pPr>
            <w:proofErr w:type="spellStart"/>
            <w:r w:rsidRPr="00C25FCB">
              <w:rPr>
                <w:b/>
                <w:sz w:val="22"/>
                <w:szCs w:val="20"/>
              </w:rPr>
              <w:t>Tehniskas</w:t>
            </w:r>
            <w:proofErr w:type="spellEnd"/>
            <w:r w:rsidRPr="00C25FCB">
              <w:rPr>
                <w:b/>
                <w:sz w:val="22"/>
                <w:szCs w:val="20"/>
              </w:rPr>
              <w:t xml:space="preserve"> </w:t>
            </w:r>
            <w:proofErr w:type="spellStart"/>
            <w:r w:rsidRPr="00C25FCB">
              <w:rPr>
                <w:b/>
                <w:sz w:val="22"/>
                <w:szCs w:val="20"/>
              </w:rPr>
              <w:t>specifikācijas</w:t>
            </w:r>
            <w:proofErr w:type="spellEnd"/>
            <w:r w:rsidRPr="00C25FCB">
              <w:rPr>
                <w:b/>
                <w:sz w:val="22"/>
                <w:szCs w:val="20"/>
              </w:rPr>
              <w:t xml:space="preserve"> </w:t>
            </w:r>
            <w:proofErr w:type="spellStart"/>
            <w:r w:rsidRPr="00C25FCB">
              <w:rPr>
                <w:b/>
                <w:sz w:val="22"/>
                <w:szCs w:val="20"/>
              </w:rPr>
              <w:t>punkts</w:t>
            </w:r>
            <w:proofErr w:type="spellEnd"/>
          </w:p>
        </w:tc>
        <w:tc>
          <w:tcPr>
            <w:tcW w:w="4050" w:type="dxa"/>
          </w:tcPr>
          <w:p w:rsidR="00C25FCB" w:rsidRPr="00C25FCB" w:rsidRDefault="00C25FCB" w:rsidP="009A58FC">
            <w:pPr>
              <w:contextualSpacing/>
              <w:jc w:val="both"/>
              <w:rPr>
                <w:b/>
                <w:sz w:val="22"/>
                <w:szCs w:val="20"/>
              </w:rPr>
            </w:pPr>
            <w:proofErr w:type="spellStart"/>
            <w:r w:rsidRPr="00C25FCB">
              <w:rPr>
                <w:b/>
                <w:sz w:val="22"/>
                <w:szCs w:val="20"/>
              </w:rPr>
              <w:t>Pretendenta</w:t>
            </w:r>
            <w:proofErr w:type="spellEnd"/>
            <w:r w:rsidRPr="00C25FCB">
              <w:rPr>
                <w:b/>
                <w:sz w:val="22"/>
                <w:szCs w:val="20"/>
              </w:rPr>
              <w:t xml:space="preserve"> </w:t>
            </w:r>
            <w:proofErr w:type="spellStart"/>
            <w:r w:rsidRPr="00C25FCB">
              <w:rPr>
                <w:b/>
                <w:sz w:val="22"/>
                <w:szCs w:val="20"/>
              </w:rPr>
              <w:t>jautājums</w:t>
            </w:r>
            <w:proofErr w:type="spellEnd"/>
          </w:p>
        </w:tc>
      </w:tr>
      <w:tr w:rsidR="00C25FCB" w:rsidRPr="00554DDC" w:rsidTr="00C25FCB">
        <w:trPr>
          <w:trHeight w:val="1232"/>
        </w:trPr>
        <w:tc>
          <w:tcPr>
            <w:tcW w:w="616" w:type="dxa"/>
          </w:tcPr>
          <w:p w:rsidR="00C25FCB" w:rsidRPr="00C25FCB" w:rsidRDefault="00C25FCB" w:rsidP="009A58FC">
            <w:pPr>
              <w:contextualSpacing/>
              <w:jc w:val="both"/>
              <w:rPr>
                <w:sz w:val="22"/>
                <w:szCs w:val="20"/>
              </w:rPr>
            </w:pPr>
          </w:p>
        </w:tc>
        <w:tc>
          <w:tcPr>
            <w:tcW w:w="4419" w:type="dxa"/>
          </w:tcPr>
          <w:p w:rsidR="00C25FCB" w:rsidRPr="00C25FCB" w:rsidRDefault="00C25FCB" w:rsidP="009A58FC">
            <w:pPr>
              <w:autoSpaceDE w:val="0"/>
              <w:autoSpaceDN w:val="0"/>
              <w:adjustRightInd w:val="0"/>
              <w:rPr>
                <w:sz w:val="22"/>
                <w:szCs w:val="20"/>
              </w:rPr>
            </w:pPr>
            <w:proofErr w:type="spellStart"/>
            <w:r w:rsidRPr="00C25FCB">
              <w:rPr>
                <w:sz w:val="22"/>
                <w:szCs w:val="20"/>
              </w:rPr>
              <w:t>Pirmās</w:t>
            </w:r>
            <w:proofErr w:type="spellEnd"/>
            <w:r w:rsidRPr="00C25FCB">
              <w:rPr>
                <w:sz w:val="22"/>
                <w:szCs w:val="20"/>
              </w:rPr>
              <w:t xml:space="preserve"> </w:t>
            </w:r>
            <w:proofErr w:type="spellStart"/>
            <w:r w:rsidRPr="00C25FCB">
              <w:rPr>
                <w:sz w:val="22"/>
                <w:szCs w:val="20"/>
              </w:rPr>
              <w:t>tabulas</w:t>
            </w:r>
            <w:proofErr w:type="spellEnd"/>
            <w:r w:rsidRPr="00C25FCB">
              <w:rPr>
                <w:sz w:val="22"/>
                <w:szCs w:val="20"/>
              </w:rPr>
              <w:t xml:space="preserve"> </w:t>
            </w:r>
            <w:proofErr w:type="spellStart"/>
            <w:r w:rsidRPr="00C25FCB">
              <w:rPr>
                <w:sz w:val="22"/>
                <w:szCs w:val="20"/>
              </w:rPr>
              <w:t>iepirkuma</w:t>
            </w:r>
            <w:proofErr w:type="spellEnd"/>
            <w:r w:rsidRPr="00C25FCB">
              <w:rPr>
                <w:sz w:val="22"/>
                <w:szCs w:val="20"/>
              </w:rPr>
              <w:t xml:space="preserve"> </w:t>
            </w:r>
            <w:proofErr w:type="spellStart"/>
            <w:r w:rsidRPr="00C25FCB">
              <w:rPr>
                <w:sz w:val="22"/>
                <w:szCs w:val="20"/>
              </w:rPr>
              <w:t>priekšmeta</w:t>
            </w:r>
            <w:proofErr w:type="spellEnd"/>
            <w:r w:rsidRPr="00C25FCB">
              <w:rPr>
                <w:sz w:val="22"/>
                <w:szCs w:val="20"/>
              </w:rPr>
              <w:t xml:space="preserve"> </w:t>
            </w:r>
            <w:proofErr w:type="spellStart"/>
            <w:r w:rsidRPr="00C25FCB">
              <w:rPr>
                <w:sz w:val="22"/>
                <w:szCs w:val="20"/>
              </w:rPr>
              <w:t>pozīcija</w:t>
            </w:r>
            <w:proofErr w:type="spellEnd"/>
            <w:r w:rsidRPr="00C25FCB">
              <w:rPr>
                <w:sz w:val="22"/>
                <w:szCs w:val="20"/>
              </w:rPr>
              <w:t xml:space="preserve"> Nr.p.k.1.4. </w:t>
            </w:r>
            <w:proofErr w:type="spellStart"/>
            <w:r w:rsidRPr="00C25FCB">
              <w:rPr>
                <w:sz w:val="22"/>
                <w:szCs w:val="20"/>
              </w:rPr>
              <w:t>Nosaukums</w:t>
            </w:r>
            <w:proofErr w:type="spellEnd"/>
            <w:r w:rsidRPr="00C25FCB">
              <w:rPr>
                <w:sz w:val="22"/>
                <w:szCs w:val="20"/>
              </w:rPr>
              <w:t xml:space="preserve"> “</w:t>
            </w:r>
            <w:proofErr w:type="spellStart"/>
            <w:r w:rsidRPr="00C25FCB">
              <w:rPr>
                <w:sz w:val="22"/>
                <w:szCs w:val="20"/>
              </w:rPr>
              <w:t>Komponentes</w:t>
            </w:r>
            <w:proofErr w:type="spellEnd"/>
            <w:r w:rsidRPr="00C25FCB">
              <w:rPr>
                <w:sz w:val="22"/>
                <w:szCs w:val="20"/>
              </w:rPr>
              <w:t>/</w:t>
            </w:r>
            <w:proofErr w:type="spellStart"/>
            <w:r w:rsidRPr="00C25FCB">
              <w:rPr>
                <w:sz w:val="22"/>
                <w:szCs w:val="20"/>
              </w:rPr>
              <w:t>moduļi</w:t>
            </w:r>
            <w:proofErr w:type="spellEnd"/>
            <w:r w:rsidRPr="00C25FCB">
              <w:rPr>
                <w:sz w:val="22"/>
                <w:szCs w:val="20"/>
              </w:rPr>
              <w:t xml:space="preserve">, </w:t>
            </w:r>
            <w:proofErr w:type="spellStart"/>
            <w:r w:rsidRPr="00C25FCB">
              <w:rPr>
                <w:sz w:val="22"/>
                <w:szCs w:val="20"/>
              </w:rPr>
              <w:t>kuru</w:t>
            </w:r>
            <w:proofErr w:type="spellEnd"/>
            <w:r w:rsidRPr="00C25FCB">
              <w:rPr>
                <w:sz w:val="22"/>
                <w:szCs w:val="20"/>
              </w:rPr>
              <w:t xml:space="preserve"> </w:t>
            </w:r>
            <w:proofErr w:type="spellStart"/>
            <w:r w:rsidRPr="00C25FCB">
              <w:rPr>
                <w:sz w:val="22"/>
                <w:szCs w:val="20"/>
              </w:rPr>
              <w:t>iegādi</w:t>
            </w:r>
            <w:proofErr w:type="spellEnd"/>
            <w:r w:rsidRPr="00C25FCB">
              <w:rPr>
                <w:sz w:val="22"/>
                <w:szCs w:val="20"/>
              </w:rPr>
              <w:t xml:space="preserve"> </w:t>
            </w:r>
            <w:proofErr w:type="spellStart"/>
            <w:r w:rsidRPr="00C25FCB">
              <w:rPr>
                <w:sz w:val="22"/>
                <w:szCs w:val="20"/>
              </w:rPr>
              <w:t>Pasūtītājs</w:t>
            </w:r>
            <w:proofErr w:type="spellEnd"/>
            <w:r w:rsidRPr="00C25FCB">
              <w:rPr>
                <w:sz w:val="22"/>
                <w:szCs w:val="20"/>
              </w:rPr>
              <w:t xml:space="preserve"> </w:t>
            </w:r>
            <w:proofErr w:type="spellStart"/>
            <w:r w:rsidRPr="00C25FCB">
              <w:rPr>
                <w:sz w:val="22"/>
                <w:szCs w:val="20"/>
              </w:rPr>
              <w:t>izvērtē</w:t>
            </w:r>
            <w:proofErr w:type="spellEnd"/>
            <w:r w:rsidRPr="00C25FCB">
              <w:rPr>
                <w:sz w:val="22"/>
                <w:szCs w:val="20"/>
              </w:rPr>
              <w:t xml:space="preserve"> </w:t>
            </w:r>
            <w:proofErr w:type="spellStart"/>
            <w:r w:rsidRPr="00C25FCB">
              <w:rPr>
                <w:sz w:val="22"/>
                <w:szCs w:val="20"/>
              </w:rPr>
              <w:t>atbilstoši</w:t>
            </w:r>
            <w:proofErr w:type="spellEnd"/>
            <w:r w:rsidRPr="00C25FCB">
              <w:rPr>
                <w:sz w:val="22"/>
                <w:szCs w:val="20"/>
              </w:rPr>
              <w:t xml:space="preserve"> </w:t>
            </w:r>
            <w:proofErr w:type="spellStart"/>
            <w:r w:rsidRPr="00C25FCB">
              <w:rPr>
                <w:sz w:val="22"/>
                <w:szCs w:val="20"/>
              </w:rPr>
              <w:t>atlikušajam</w:t>
            </w:r>
            <w:proofErr w:type="spellEnd"/>
            <w:r w:rsidRPr="00C25FCB">
              <w:rPr>
                <w:sz w:val="22"/>
                <w:szCs w:val="20"/>
              </w:rPr>
              <w:t xml:space="preserve"> /</w:t>
            </w:r>
            <w:proofErr w:type="spellStart"/>
            <w:r w:rsidRPr="00C25FCB">
              <w:rPr>
                <w:sz w:val="22"/>
                <w:szCs w:val="20"/>
              </w:rPr>
              <w:t>pieejamajam</w:t>
            </w:r>
            <w:proofErr w:type="spellEnd"/>
            <w:r w:rsidRPr="00C25FCB">
              <w:rPr>
                <w:sz w:val="22"/>
                <w:szCs w:val="20"/>
              </w:rPr>
              <w:t xml:space="preserve"> </w:t>
            </w:r>
            <w:proofErr w:type="spellStart"/>
            <w:r w:rsidRPr="00C25FCB">
              <w:rPr>
                <w:sz w:val="22"/>
                <w:szCs w:val="20"/>
              </w:rPr>
              <w:t>budžetam</w:t>
            </w:r>
            <w:proofErr w:type="spellEnd"/>
            <w:r w:rsidRPr="00C25FCB">
              <w:rPr>
                <w:sz w:val="22"/>
                <w:szCs w:val="20"/>
              </w:rPr>
              <w:t xml:space="preserve"> (</w:t>
            </w:r>
            <w:proofErr w:type="spellStart"/>
            <w:r w:rsidRPr="00C25FCB">
              <w:rPr>
                <w:color w:val="FF0000"/>
                <w:sz w:val="22"/>
                <w:szCs w:val="20"/>
              </w:rPr>
              <w:t>netiek</w:t>
            </w:r>
            <w:proofErr w:type="spellEnd"/>
            <w:r w:rsidRPr="00C25FCB">
              <w:rPr>
                <w:color w:val="FF0000"/>
                <w:sz w:val="22"/>
                <w:szCs w:val="20"/>
              </w:rPr>
              <w:t xml:space="preserve"> </w:t>
            </w:r>
            <w:proofErr w:type="spellStart"/>
            <w:r w:rsidRPr="00C25FCB">
              <w:rPr>
                <w:color w:val="FF0000"/>
                <w:sz w:val="22"/>
                <w:szCs w:val="20"/>
              </w:rPr>
              <w:t>vērtētas</w:t>
            </w:r>
            <w:proofErr w:type="spellEnd"/>
            <w:r w:rsidRPr="00C25FCB">
              <w:rPr>
                <w:color w:val="FF0000"/>
                <w:sz w:val="22"/>
                <w:szCs w:val="20"/>
              </w:rPr>
              <w:t xml:space="preserve"> </w:t>
            </w:r>
            <w:proofErr w:type="spellStart"/>
            <w:r w:rsidRPr="00C25FCB">
              <w:rPr>
                <w:color w:val="FF0000"/>
                <w:sz w:val="22"/>
                <w:szCs w:val="20"/>
              </w:rPr>
              <w:t>kopēja</w:t>
            </w:r>
            <w:proofErr w:type="spellEnd"/>
            <w:r w:rsidRPr="00C25FCB">
              <w:rPr>
                <w:color w:val="FF0000"/>
                <w:sz w:val="22"/>
                <w:szCs w:val="20"/>
              </w:rPr>
              <w:t xml:space="preserve"> </w:t>
            </w:r>
            <w:proofErr w:type="spellStart"/>
            <w:r w:rsidRPr="00C25FCB">
              <w:rPr>
                <w:color w:val="FF0000"/>
                <w:sz w:val="22"/>
                <w:szCs w:val="20"/>
              </w:rPr>
              <w:t>finanšu</w:t>
            </w:r>
            <w:proofErr w:type="spellEnd"/>
            <w:r w:rsidRPr="00C25FCB">
              <w:rPr>
                <w:color w:val="FF0000"/>
                <w:sz w:val="22"/>
                <w:szCs w:val="20"/>
              </w:rPr>
              <w:t xml:space="preserve"> </w:t>
            </w:r>
            <w:proofErr w:type="spellStart"/>
            <w:r w:rsidRPr="00C25FCB">
              <w:rPr>
                <w:color w:val="FF0000"/>
                <w:sz w:val="22"/>
                <w:szCs w:val="20"/>
              </w:rPr>
              <w:t>piedāvājuma</w:t>
            </w:r>
            <w:proofErr w:type="spellEnd"/>
            <w:r w:rsidRPr="00C25FCB">
              <w:rPr>
                <w:color w:val="FF0000"/>
                <w:sz w:val="22"/>
                <w:szCs w:val="20"/>
              </w:rPr>
              <w:t xml:space="preserve"> </w:t>
            </w:r>
            <w:proofErr w:type="spellStart"/>
            <w:r w:rsidRPr="00C25FCB">
              <w:rPr>
                <w:color w:val="FF0000"/>
                <w:sz w:val="22"/>
                <w:szCs w:val="20"/>
              </w:rPr>
              <w:t>cenā</w:t>
            </w:r>
            <w:proofErr w:type="spellEnd"/>
            <w:r w:rsidRPr="00C25FCB">
              <w:rPr>
                <w:sz w:val="22"/>
                <w:szCs w:val="20"/>
              </w:rPr>
              <w:t>):”</w:t>
            </w:r>
          </w:p>
        </w:tc>
        <w:tc>
          <w:tcPr>
            <w:tcW w:w="4050" w:type="dxa"/>
          </w:tcPr>
          <w:p w:rsidR="00C25FCB" w:rsidRPr="00C25FCB" w:rsidRDefault="00C25FCB" w:rsidP="009A58FC">
            <w:pPr>
              <w:contextualSpacing/>
              <w:jc w:val="both"/>
              <w:rPr>
                <w:color w:val="000000" w:themeColor="text1"/>
                <w:sz w:val="22"/>
                <w:szCs w:val="20"/>
              </w:rPr>
            </w:pPr>
            <w:proofErr w:type="spellStart"/>
            <w:r w:rsidRPr="00C25FCB">
              <w:rPr>
                <w:color w:val="000000" w:themeColor="text1"/>
                <w:sz w:val="22"/>
                <w:szCs w:val="20"/>
              </w:rPr>
              <w:t>Vai</w:t>
            </w:r>
            <w:proofErr w:type="spellEnd"/>
            <w:r w:rsidRPr="00C25FCB">
              <w:rPr>
                <w:color w:val="000000" w:themeColor="text1"/>
                <w:sz w:val="22"/>
                <w:szCs w:val="20"/>
              </w:rPr>
              <w:t xml:space="preserve"> </w:t>
            </w:r>
            <w:proofErr w:type="spellStart"/>
            <w:r w:rsidRPr="00C25FCB">
              <w:rPr>
                <w:color w:val="000000" w:themeColor="text1"/>
                <w:sz w:val="22"/>
                <w:szCs w:val="20"/>
              </w:rPr>
              <w:t>Pretendents</w:t>
            </w:r>
            <w:proofErr w:type="spellEnd"/>
            <w:r w:rsidRPr="00C25FCB">
              <w:rPr>
                <w:color w:val="000000" w:themeColor="text1"/>
                <w:sz w:val="22"/>
                <w:szCs w:val="20"/>
              </w:rPr>
              <w:t xml:space="preserve"> </w:t>
            </w:r>
            <w:proofErr w:type="spellStart"/>
            <w:r w:rsidRPr="00C25FCB">
              <w:rPr>
                <w:color w:val="000000" w:themeColor="text1"/>
                <w:sz w:val="22"/>
                <w:szCs w:val="20"/>
              </w:rPr>
              <w:t>pareizi</w:t>
            </w:r>
            <w:proofErr w:type="spellEnd"/>
            <w:r w:rsidRPr="00C25FCB">
              <w:rPr>
                <w:color w:val="000000" w:themeColor="text1"/>
                <w:sz w:val="22"/>
                <w:szCs w:val="20"/>
              </w:rPr>
              <w:t xml:space="preserve"> </w:t>
            </w:r>
            <w:proofErr w:type="spellStart"/>
            <w:r w:rsidRPr="00C25FCB">
              <w:rPr>
                <w:color w:val="000000" w:themeColor="text1"/>
                <w:sz w:val="22"/>
                <w:szCs w:val="20"/>
              </w:rPr>
              <w:t>izprot</w:t>
            </w:r>
            <w:proofErr w:type="spellEnd"/>
            <w:r w:rsidRPr="00C25FCB">
              <w:rPr>
                <w:color w:val="000000" w:themeColor="text1"/>
                <w:sz w:val="22"/>
                <w:szCs w:val="20"/>
              </w:rPr>
              <w:t xml:space="preserve">, </w:t>
            </w:r>
            <w:proofErr w:type="spellStart"/>
            <w:r w:rsidRPr="00C25FCB">
              <w:rPr>
                <w:color w:val="000000" w:themeColor="text1"/>
                <w:sz w:val="22"/>
                <w:szCs w:val="20"/>
              </w:rPr>
              <w:t>ka</w:t>
            </w:r>
            <w:proofErr w:type="spellEnd"/>
            <w:r w:rsidRPr="00C25FCB">
              <w:rPr>
                <w:color w:val="000000" w:themeColor="text1"/>
                <w:sz w:val="22"/>
                <w:szCs w:val="20"/>
              </w:rPr>
              <w:t xml:space="preserve"> </w:t>
            </w:r>
            <w:proofErr w:type="spellStart"/>
            <w:proofErr w:type="gramStart"/>
            <w:r w:rsidRPr="00C25FCB">
              <w:rPr>
                <w:color w:val="000000" w:themeColor="text1"/>
                <w:sz w:val="22"/>
                <w:szCs w:val="20"/>
              </w:rPr>
              <w:t>piezīme</w:t>
            </w:r>
            <w:proofErr w:type="spellEnd"/>
            <w:r w:rsidRPr="00C25FCB">
              <w:rPr>
                <w:color w:val="000000" w:themeColor="text1"/>
                <w:sz w:val="22"/>
                <w:szCs w:val="20"/>
              </w:rPr>
              <w:t xml:space="preserve"> ”</w:t>
            </w:r>
            <w:proofErr w:type="spellStart"/>
            <w:proofErr w:type="gramEnd"/>
            <w:r w:rsidRPr="00C25FCB">
              <w:rPr>
                <w:color w:val="000000" w:themeColor="text1"/>
                <w:sz w:val="22"/>
                <w:szCs w:val="20"/>
              </w:rPr>
              <w:t>netiek</w:t>
            </w:r>
            <w:proofErr w:type="spellEnd"/>
            <w:r w:rsidRPr="00C25FCB">
              <w:rPr>
                <w:color w:val="000000" w:themeColor="text1"/>
                <w:sz w:val="22"/>
                <w:szCs w:val="20"/>
              </w:rPr>
              <w:t xml:space="preserve"> </w:t>
            </w:r>
            <w:proofErr w:type="spellStart"/>
            <w:r w:rsidRPr="00C25FCB">
              <w:rPr>
                <w:color w:val="000000" w:themeColor="text1"/>
                <w:sz w:val="22"/>
                <w:szCs w:val="20"/>
              </w:rPr>
              <w:t>vērtētas</w:t>
            </w:r>
            <w:proofErr w:type="spellEnd"/>
            <w:r w:rsidRPr="00C25FCB">
              <w:rPr>
                <w:color w:val="000000" w:themeColor="text1"/>
                <w:sz w:val="22"/>
                <w:szCs w:val="20"/>
              </w:rPr>
              <w:t xml:space="preserve"> </w:t>
            </w:r>
            <w:proofErr w:type="spellStart"/>
            <w:r w:rsidRPr="00C25FCB">
              <w:rPr>
                <w:color w:val="000000" w:themeColor="text1"/>
                <w:sz w:val="22"/>
                <w:szCs w:val="20"/>
              </w:rPr>
              <w:t>kopēja</w:t>
            </w:r>
            <w:proofErr w:type="spellEnd"/>
            <w:r w:rsidRPr="00C25FCB">
              <w:rPr>
                <w:color w:val="000000" w:themeColor="text1"/>
                <w:sz w:val="22"/>
                <w:szCs w:val="20"/>
              </w:rPr>
              <w:t xml:space="preserve"> </w:t>
            </w:r>
            <w:proofErr w:type="spellStart"/>
            <w:r w:rsidRPr="00C25FCB">
              <w:rPr>
                <w:color w:val="000000" w:themeColor="text1"/>
                <w:sz w:val="22"/>
                <w:szCs w:val="20"/>
              </w:rPr>
              <w:t>finanšu</w:t>
            </w:r>
            <w:proofErr w:type="spellEnd"/>
            <w:r w:rsidRPr="00C25FCB">
              <w:rPr>
                <w:color w:val="000000" w:themeColor="text1"/>
                <w:sz w:val="22"/>
                <w:szCs w:val="20"/>
              </w:rPr>
              <w:t xml:space="preserve"> </w:t>
            </w:r>
            <w:proofErr w:type="spellStart"/>
            <w:r w:rsidRPr="00C25FCB">
              <w:rPr>
                <w:color w:val="000000" w:themeColor="text1"/>
                <w:sz w:val="22"/>
                <w:szCs w:val="20"/>
              </w:rPr>
              <w:t>piedāvājuma</w:t>
            </w:r>
            <w:proofErr w:type="spellEnd"/>
            <w:r w:rsidRPr="00C25FCB">
              <w:rPr>
                <w:color w:val="000000" w:themeColor="text1"/>
                <w:sz w:val="22"/>
                <w:szCs w:val="20"/>
              </w:rPr>
              <w:t xml:space="preserve"> </w:t>
            </w:r>
            <w:proofErr w:type="spellStart"/>
            <w:r w:rsidRPr="00C25FCB">
              <w:rPr>
                <w:color w:val="000000" w:themeColor="text1"/>
                <w:sz w:val="22"/>
                <w:szCs w:val="20"/>
              </w:rPr>
              <w:t>cenā</w:t>
            </w:r>
            <w:proofErr w:type="spellEnd"/>
            <w:r w:rsidRPr="00C25FCB">
              <w:rPr>
                <w:color w:val="000000" w:themeColor="text1"/>
                <w:sz w:val="22"/>
                <w:szCs w:val="20"/>
              </w:rPr>
              <w:t xml:space="preserve">” </w:t>
            </w:r>
            <w:proofErr w:type="spellStart"/>
            <w:r w:rsidRPr="00C25FCB">
              <w:rPr>
                <w:color w:val="000000" w:themeColor="text1"/>
                <w:sz w:val="22"/>
                <w:szCs w:val="20"/>
              </w:rPr>
              <w:t>ir</w:t>
            </w:r>
            <w:proofErr w:type="spellEnd"/>
            <w:r w:rsidRPr="00C25FCB">
              <w:rPr>
                <w:color w:val="000000" w:themeColor="text1"/>
                <w:sz w:val="22"/>
                <w:szCs w:val="20"/>
              </w:rPr>
              <w:t xml:space="preserve"> </w:t>
            </w:r>
            <w:proofErr w:type="spellStart"/>
            <w:r w:rsidRPr="00C25FCB">
              <w:rPr>
                <w:color w:val="000000" w:themeColor="text1"/>
                <w:sz w:val="22"/>
                <w:szCs w:val="20"/>
              </w:rPr>
              <w:t>spēkā</w:t>
            </w:r>
            <w:proofErr w:type="spellEnd"/>
            <w:r w:rsidRPr="00C25FCB">
              <w:rPr>
                <w:color w:val="000000" w:themeColor="text1"/>
                <w:sz w:val="22"/>
                <w:szCs w:val="20"/>
              </w:rPr>
              <w:t xml:space="preserve"> </w:t>
            </w:r>
            <w:proofErr w:type="spellStart"/>
            <w:r w:rsidRPr="00C25FCB">
              <w:rPr>
                <w:color w:val="000000" w:themeColor="text1"/>
                <w:sz w:val="22"/>
                <w:szCs w:val="20"/>
              </w:rPr>
              <w:t>tikai</w:t>
            </w:r>
            <w:proofErr w:type="spellEnd"/>
            <w:r w:rsidRPr="00C25FCB">
              <w:rPr>
                <w:color w:val="000000" w:themeColor="text1"/>
                <w:sz w:val="22"/>
                <w:szCs w:val="20"/>
              </w:rPr>
              <w:t xml:space="preserve">, ja </w:t>
            </w:r>
            <w:proofErr w:type="spellStart"/>
            <w:r w:rsidRPr="00C25FCB">
              <w:rPr>
                <w:color w:val="000000" w:themeColor="text1"/>
                <w:sz w:val="22"/>
                <w:szCs w:val="20"/>
              </w:rPr>
              <w:t>Pasūtītājs</w:t>
            </w:r>
            <w:proofErr w:type="spellEnd"/>
            <w:r w:rsidRPr="00C25FCB">
              <w:rPr>
                <w:color w:val="000000" w:themeColor="text1"/>
                <w:sz w:val="22"/>
                <w:szCs w:val="20"/>
              </w:rPr>
              <w:t xml:space="preserve"> </w:t>
            </w:r>
            <w:proofErr w:type="spellStart"/>
            <w:r w:rsidRPr="00C25FCB">
              <w:rPr>
                <w:color w:val="000000" w:themeColor="text1"/>
                <w:sz w:val="22"/>
                <w:szCs w:val="20"/>
              </w:rPr>
              <w:t>balstās</w:t>
            </w:r>
            <w:proofErr w:type="spellEnd"/>
            <w:r w:rsidRPr="00C25FCB">
              <w:rPr>
                <w:color w:val="000000" w:themeColor="text1"/>
                <w:sz w:val="22"/>
                <w:szCs w:val="20"/>
              </w:rPr>
              <w:t xml:space="preserve"> </w:t>
            </w:r>
            <w:proofErr w:type="spellStart"/>
            <w:r w:rsidRPr="00C25FCB">
              <w:rPr>
                <w:color w:val="000000" w:themeColor="text1"/>
                <w:sz w:val="22"/>
                <w:szCs w:val="20"/>
              </w:rPr>
              <w:t>uz</w:t>
            </w:r>
            <w:proofErr w:type="spellEnd"/>
            <w:r w:rsidRPr="00C25FCB">
              <w:rPr>
                <w:color w:val="000000" w:themeColor="text1"/>
                <w:sz w:val="22"/>
                <w:szCs w:val="20"/>
              </w:rPr>
              <w:t xml:space="preserve"> </w:t>
            </w:r>
            <w:proofErr w:type="spellStart"/>
            <w:r w:rsidRPr="00C25FCB">
              <w:rPr>
                <w:color w:val="000000" w:themeColor="text1"/>
                <w:sz w:val="22"/>
                <w:szCs w:val="20"/>
              </w:rPr>
              <w:t>nolikuma</w:t>
            </w:r>
            <w:proofErr w:type="spellEnd"/>
            <w:r w:rsidRPr="00C25FCB">
              <w:rPr>
                <w:color w:val="000000" w:themeColor="text1"/>
                <w:sz w:val="22"/>
                <w:szCs w:val="20"/>
              </w:rPr>
              <w:t xml:space="preserve"> 9.4.punktu?</w:t>
            </w:r>
          </w:p>
        </w:tc>
      </w:tr>
    </w:tbl>
    <w:p w:rsidR="00C25FCB" w:rsidRPr="00D3291D" w:rsidRDefault="00C25FCB" w:rsidP="00B37546">
      <w:pPr>
        <w:shd w:val="clear" w:color="auto" w:fill="FFFFFF"/>
        <w:tabs>
          <w:tab w:val="left" w:pos="1134"/>
        </w:tabs>
        <w:jc w:val="both"/>
        <w:rPr>
          <w:color w:val="000000"/>
          <w:spacing w:val="-8"/>
          <w:sz w:val="22"/>
          <w:szCs w:val="22"/>
          <w:lang w:val="lv-LV"/>
        </w:rPr>
      </w:pPr>
    </w:p>
    <w:p w:rsidR="00C25FCB" w:rsidRDefault="00C25FCB" w:rsidP="00C25FCB">
      <w:pPr>
        <w:ind w:right="-19"/>
        <w:jc w:val="both"/>
        <w:rPr>
          <w:b/>
          <w:color w:val="000000"/>
          <w:spacing w:val="-8"/>
          <w:sz w:val="22"/>
          <w:szCs w:val="22"/>
          <w:lang w:val="lv-LV"/>
        </w:rPr>
      </w:pPr>
      <w:r>
        <w:rPr>
          <w:b/>
          <w:color w:val="000000"/>
          <w:spacing w:val="-8"/>
          <w:sz w:val="22"/>
          <w:szCs w:val="22"/>
          <w:lang w:val="lv-LV"/>
        </w:rPr>
        <w:t>Atbilde Nr.2</w:t>
      </w:r>
    </w:p>
    <w:p w:rsidR="00F270FA" w:rsidRDefault="00C25FCB" w:rsidP="00B37546">
      <w:pPr>
        <w:shd w:val="clear" w:color="auto" w:fill="FFFFFF"/>
        <w:tabs>
          <w:tab w:val="left" w:pos="1134"/>
        </w:tabs>
        <w:jc w:val="both"/>
        <w:rPr>
          <w:b/>
          <w:color w:val="000000"/>
          <w:spacing w:val="-8"/>
          <w:sz w:val="22"/>
          <w:szCs w:val="22"/>
          <w:lang w:val="lv-LV"/>
        </w:rPr>
      </w:pPr>
      <w:r w:rsidRPr="00720DC7">
        <w:rPr>
          <w:sz w:val="22"/>
          <w:szCs w:val="22"/>
          <w:lang w:val="lv-LV"/>
        </w:rPr>
        <w:t xml:space="preserve">Komisijas </w:t>
      </w:r>
      <w:r>
        <w:rPr>
          <w:sz w:val="22"/>
          <w:szCs w:val="22"/>
          <w:lang w:val="lv-LV"/>
        </w:rPr>
        <w:t xml:space="preserve">loceklis </w:t>
      </w:r>
      <w:proofErr w:type="spellStart"/>
      <w:r>
        <w:rPr>
          <w:sz w:val="22"/>
          <w:szCs w:val="22"/>
          <w:lang w:val="lv-LV"/>
        </w:rPr>
        <w:t>I.Kozaks</w:t>
      </w:r>
      <w:proofErr w:type="spellEnd"/>
      <w:r>
        <w:rPr>
          <w:sz w:val="22"/>
          <w:szCs w:val="22"/>
          <w:lang w:val="lv-LV"/>
        </w:rPr>
        <w:t xml:space="preserve"> </w:t>
      </w:r>
      <w:r w:rsidRPr="00720DC7">
        <w:rPr>
          <w:sz w:val="22"/>
          <w:szCs w:val="22"/>
          <w:lang w:val="lv-LV"/>
        </w:rPr>
        <w:t xml:space="preserve">informē, ka </w:t>
      </w:r>
      <w:r>
        <w:rPr>
          <w:sz w:val="22"/>
          <w:szCs w:val="22"/>
          <w:lang w:val="lv-LV"/>
        </w:rPr>
        <w:t>ir pamatojoties uz pretendenta jautājumu konstatēta neprecizitāte nolikuma pielikumā Nr.2</w:t>
      </w:r>
      <w:r w:rsidR="00757B2D" w:rsidRPr="00757B2D">
        <w:t xml:space="preserve"> </w:t>
      </w:r>
      <w:r w:rsidR="00757B2D">
        <w:t>p</w:t>
      </w:r>
      <w:proofErr w:type="spellStart"/>
      <w:r w:rsidR="00757B2D" w:rsidRPr="00757B2D">
        <w:rPr>
          <w:sz w:val="22"/>
          <w:szCs w:val="22"/>
          <w:lang w:val="lv-LV"/>
        </w:rPr>
        <w:t>irmās</w:t>
      </w:r>
      <w:proofErr w:type="spellEnd"/>
      <w:r w:rsidR="00757B2D" w:rsidRPr="00757B2D">
        <w:rPr>
          <w:sz w:val="22"/>
          <w:szCs w:val="22"/>
          <w:lang w:val="lv-LV"/>
        </w:rPr>
        <w:t xml:space="preserve"> tabulas iepir</w:t>
      </w:r>
      <w:r w:rsidR="00757B2D">
        <w:rPr>
          <w:sz w:val="22"/>
          <w:szCs w:val="22"/>
          <w:lang w:val="lv-LV"/>
        </w:rPr>
        <w:t>kuma priekšmeta pozīcija Nr.</w:t>
      </w:r>
      <w:r w:rsidR="00757B2D" w:rsidRPr="00757B2D">
        <w:rPr>
          <w:sz w:val="22"/>
          <w:szCs w:val="22"/>
          <w:lang w:val="lv-LV"/>
        </w:rPr>
        <w:t>1.4.</w:t>
      </w:r>
      <w:r w:rsidR="00757B2D">
        <w:rPr>
          <w:sz w:val="22"/>
          <w:szCs w:val="22"/>
          <w:lang w:val="lv-LV"/>
        </w:rPr>
        <w:t xml:space="preserve"> konstatēta neprecizitāte</w:t>
      </w:r>
      <w:r w:rsidR="007F1DB4">
        <w:rPr>
          <w:sz w:val="22"/>
          <w:szCs w:val="22"/>
          <w:lang w:val="lv-LV"/>
        </w:rPr>
        <w:t xml:space="preserve">. No minētā punkta nepieciešams izslēgt tekstu: </w:t>
      </w:r>
      <w:r w:rsidR="007F1DB4" w:rsidRPr="007F1DB4">
        <w:rPr>
          <w:i/>
          <w:sz w:val="22"/>
          <w:szCs w:val="22"/>
          <w:lang w:val="lv-LV"/>
        </w:rPr>
        <w:t>“(netiek vērtētas kopēja finanšu piedāvājuma cenā)”</w:t>
      </w:r>
      <w:r w:rsidR="00AB74B4">
        <w:rPr>
          <w:i/>
          <w:sz w:val="22"/>
          <w:szCs w:val="22"/>
          <w:lang w:val="lv-LV"/>
        </w:rPr>
        <w:t xml:space="preserve">, </w:t>
      </w:r>
      <w:r w:rsidR="00AB74B4" w:rsidRPr="00AB74B4">
        <w:rPr>
          <w:sz w:val="22"/>
          <w:szCs w:val="22"/>
          <w:lang w:val="lv-LV"/>
        </w:rPr>
        <w:t xml:space="preserve">jo </w:t>
      </w:r>
      <w:r w:rsidR="00AB74B4">
        <w:rPr>
          <w:sz w:val="22"/>
          <w:szCs w:val="22"/>
          <w:lang w:val="lv-LV"/>
        </w:rPr>
        <w:t xml:space="preserve">šīs pozīcijas tiks vērtētas kopējā piedāvājuma cenā un nepieciešamības gadījumā, </w:t>
      </w:r>
      <w:r w:rsidR="00AB74B4" w:rsidRPr="00AB74B4">
        <w:rPr>
          <w:sz w:val="22"/>
          <w:szCs w:val="22"/>
          <w:lang w:val="lv-LV"/>
        </w:rPr>
        <w:t>ja Pasūtītājam nebūs pieejami finanšu līdzekļi visa iepirkuma priekšmeta iegādei, Pasūtītājam ir tiesības atteikties no jebkuras, jebkurām vai visām Tehniskās specifikācijas (nolikuma pielikums Nr.2) 1.4. punkta iepirkuma priekšmeta pozīcijām nolikuma 9.3 punktā norādītajā secībā</w:t>
      </w:r>
      <w:r w:rsidR="007F1DB4">
        <w:rPr>
          <w:sz w:val="22"/>
          <w:szCs w:val="22"/>
          <w:lang w:val="lv-LV"/>
        </w:rPr>
        <w:t>.</w:t>
      </w:r>
    </w:p>
    <w:p w:rsidR="00AB74B4" w:rsidRPr="00551FE9" w:rsidRDefault="00AB74B4" w:rsidP="00AB74B4">
      <w:pPr>
        <w:ind w:right="-19"/>
        <w:jc w:val="both"/>
        <w:rPr>
          <w:b/>
          <w:sz w:val="22"/>
          <w:szCs w:val="22"/>
          <w:lang w:val="lv-LV"/>
        </w:rPr>
      </w:pPr>
      <w:r w:rsidRPr="00551FE9">
        <w:rPr>
          <w:b/>
          <w:sz w:val="22"/>
          <w:szCs w:val="22"/>
          <w:lang w:val="lv-LV"/>
        </w:rPr>
        <w:t>Komisija vienbalsīgi nolemj:</w:t>
      </w:r>
    </w:p>
    <w:p w:rsidR="00AB74B4" w:rsidRDefault="00AB74B4" w:rsidP="00AB74B4">
      <w:pPr>
        <w:ind w:right="-19"/>
        <w:jc w:val="both"/>
        <w:rPr>
          <w:sz w:val="22"/>
          <w:szCs w:val="22"/>
          <w:lang w:val="lv-LV"/>
        </w:rPr>
      </w:pPr>
      <w:r w:rsidRPr="00A34948">
        <w:rPr>
          <w:sz w:val="22"/>
          <w:szCs w:val="22"/>
          <w:lang w:val="lv-LV"/>
        </w:rPr>
        <w:t xml:space="preserve">Apstiprināt precizējumu </w:t>
      </w:r>
      <w:r>
        <w:rPr>
          <w:sz w:val="22"/>
          <w:szCs w:val="22"/>
          <w:lang w:val="lv-LV"/>
        </w:rPr>
        <w:t>izslēgt nolikuma pielikumā Nr.2</w:t>
      </w:r>
      <w:r w:rsidRPr="00757B2D">
        <w:t xml:space="preserve"> </w:t>
      </w:r>
      <w:r>
        <w:t>p</w:t>
      </w:r>
      <w:proofErr w:type="spellStart"/>
      <w:r w:rsidRPr="00757B2D">
        <w:rPr>
          <w:sz w:val="22"/>
          <w:szCs w:val="22"/>
          <w:lang w:val="lv-LV"/>
        </w:rPr>
        <w:t>irmās</w:t>
      </w:r>
      <w:proofErr w:type="spellEnd"/>
      <w:r w:rsidRPr="00757B2D">
        <w:rPr>
          <w:sz w:val="22"/>
          <w:szCs w:val="22"/>
          <w:lang w:val="lv-LV"/>
        </w:rPr>
        <w:t xml:space="preserve"> tabulas iepir</w:t>
      </w:r>
      <w:r>
        <w:rPr>
          <w:sz w:val="22"/>
          <w:szCs w:val="22"/>
          <w:lang w:val="lv-LV"/>
        </w:rPr>
        <w:t>kuma priekšmeta pozīcijā Nr.</w:t>
      </w:r>
      <w:r w:rsidRPr="00757B2D">
        <w:rPr>
          <w:sz w:val="22"/>
          <w:szCs w:val="22"/>
          <w:lang w:val="lv-LV"/>
        </w:rPr>
        <w:t>1.4.</w:t>
      </w:r>
      <w:r>
        <w:rPr>
          <w:sz w:val="22"/>
          <w:szCs w:val="22"/>
          <w:lang w:val="lv-LV"/>
        </w:rPr>
        <w:t xml:space="preserve"> tekstu </w:t>
      </w:r>
      <w:r w:rsidRPr="007F1DB4">
        <w:rPr>
          <w:i/>
          <w:sz w:val="22"/>
          <w:szCs w:val="22"/>
          <w:lang w:val="lv-LV"/>
        </w:rPr>
        <w:t>“(netiek vērtētas kopēja finanšu piedāvājuma cenā)”</w:t>
      </w:r>
      <w:r>
        <w:rPr>
          <w:sz w:val="22"/>
          <w:szCs w:val="22"/>
          <w:lang w:val="lv-LV"/>
        </w:rPr>
        <w:t>.</w:t>
      </w:r>
    </w:p>
    <w:p w:rsidR="005A1EC4" w:rsidRDefault="005A1EC4" w:rsidP="00AB74B4">
      <w:pPr>
        <w:ind w:right="-19"/>
        <w:jc w:val="both"/>
        <w:rPr>
          <w:sz w:val="22"/>
          <w:szCs w:val="22"/>
          <w:lang w:val="lv-LV"/>
        </w:rPr>
      </w:pPr>
    </w:p>
    <w:p w:rsidR="00EE7F7F" w:rsidRDefault="00EE7F7F" w:rsidP="004C71FC">
      <w:pPr>
        <w:pStyle w:val="ListParagraph"/>
        <w:numPr>
          <w:ilvl w:val="0"/>
          <w:numId w:val="38"/>
        </w:numPr>
        <w:ind w:right="-19"/>
        <w:jc w:val="both"/>
        <w:rPr>
          <w:sz w:val="22"/>
          <w:szCs w:val="22"/>
          <w:lang w:val="lv-LV"/>
        </w:rPr>
      </w:pPr>
      <w:r w:rsidRPr="00EE7F7F">
        <w:rPr>
          <w:sz w:val="22"/>
          <w:szCs w:val="22"/>
          <w:lang w:val="lv-LV"/>
        </w:rPr>
        <w:t xml:space="preserve">Komisijas loceklis </w:t>
      </w:r>
      <w:proofErr w:type="spellStart"/>
      <w:r w:rsidRPr="00EE7F7F">
        <w:rPr>
          <w:sz w:val="22"/>
          <w:szCs w:val="22"/>
          <w:lang w:val="lv-LV"/>
        </w:rPr>
        <w:t>I.Kozaks</w:t>
      </w:r>
      <w:proofErr w:type="spellEnd"/>
      <w:r w:rsidRPr="00EE7F7F">
        <w:rPr>
          <w:sz w:val="22"/>
          <w:szCs w:val="22"/>
          <w:lang w:val="lv-LV"/>
        </w:rPr>
        <w:t xml:space="preserve"> informē, ka izskatot atkārtoti nolikumu, konstatēju, ka nepieciešami precizējumi nolikuma pielikuma Nr.2  1.4.punktā</w:t>
      </w:r>
      <w:r>
        <w:rPr>
          <w:sz w:val="22"/>
          <w:szCs w:val="22"/>
          <w:lang w:val="lv-LV"/>
        </w:rPr>
        <w:t>.</w:t>
      </w:r>
      <w:r w:rsidRPr="00EE7F7F">
        <w:rPr>
          <w:sz w:val="22"/>
          <w:szCs w:val="22"/>
          <w:lang w:val="lv-LV"/>
        </w:rPr>
        <w:t xml:space="preserve"> </w:t>
      </w:r>
      <w:r>
        <w:rPr>
          <w:sz w:val="22"/>
          <w:szCs w:val="22"/>
          <w:lang w:val="lv-LV"/>
        </w:rPr>
        <w:t>J</w:t>
      </w:r>
      <w:r w:rsidRPr="00EE7F7F">
        <w:rPr>
          <w:sz w:val="22"/>
          <w:szCs w:val="22"/>
          <w:lang w:val="lv-LV"/>
        </w:rPr>
        <w:t>āmaina vietām</w:t>
      </w:r>
      <w:r>
        <w:rPr>
          <w:sz w:val="22"/>
          <w:szCs w:val="22"/>
          <w:lang w:val="lv-LV"/>
        </w:rPr>
        <w:t xml:space="preserve"> secība</w:t>
      </w:r>
      <w:r w:rsidR="004C71FC">
        <w:rPr>
          <w:sz w:val="22"/>
          <w:szCs w:val="22"/>
          <w:lang w:val="lv-LV"/>
        </w:rPr>
        <w:t xml:space="preserve"> kādā </w:t>
      </w:r>
      <w:r w:rsidR="004C71FC" w:rsidRPr="004C71FC">
        <w:rPr>
          <w:sz w:val="22"/>
          <w:szCs w:val="22"/>
          <w:lang w:val="lv-LV"/>
        </w:rPr>
        <w:t>Pasūtītājam ir tiesības atteikties no jebkuras, jebkurām vai visām Tehniskās specifikācijas (nolikuma pielikums Nr.2) 1.4. punkta iepirkuma priekšmeta pozīcijām</w:t>
      </w:r>
      <w:r w:rsidRPr="00EE7F7F">
        <w:rPr>
          <w:sz w:val="22"/>
          <w:szCs w:val="22"/>
          <w:lang w:val="lv-LV"/>
        </w:rPr>
        <w:t>, jo paraugu turētāju ar temperatūras kontroli nav iespējams izmantot, ja nav paraugu sildīšanas/dzesēšanas ierīces. Tas ir: paraugu sildīšanas/dzesēšanas ierīces darbības kontrolei izmanto temperatūras kontroles ierīci</w:t>
      </w:r>
      <w:r w:rsidR="004C71FC">
        <w:rPr>
          <w:sz w:val="22"/>
          <w:szCs w:val="22"/>
          <w:lang w:val="lv-LV"/>
        </w:rPr>
        <w:t>, līdz ar to pirmās divas pozīcijas ir jāmaina vietām. Līdz ar to ir jā</w:t>
      </w:r>
      <w:r w:rsidR="00C81D82">
        <w:rPr>
          <w:sz w:val="22"/>
          <w:szCs w:val="22"/>
          <w:lang w:val="lv-LV"/>
        </w:rPr>
        <w:t>precizē</w:t>
      </w:r>
      <w:r w:rsidR="004C71FC">
        <w:rPr>
          <w:sz w:val="22"/>
          <w:szCs w:val="22"/>
          <w:lang w:val="lv-LV"/>
        </w:rPr>
        <w:t xml:space="preserve"> attiecīgi nolikuma </w:t>
      </w:r>
      <w:r w:rsidR="00C81D82">
        <w:rPr>
          <w:sz w:val="22"/>
          <w:szCs w:val="22"/>
          <w:lang w:val="lv-LV"/>
        </w:rPr>
        <w:t>9.3. punkts.</w:t>
      </w:r>
    </w:p>
    <w:p w:rsidR="004C71FC" w:rsidRPr="004C71FC" w:rsidRDefault="004C71FC" w:rsidP="004C71FC">
      <w:pPr>
        <w:pStyle w:val="ListParagraph"/>
        <w:numPr>
          <w:ilvl w:val="1"/>
          <w:numId w:val="38"/>
        </w:numPr>
        <w:ind w:right="-19"/>
        <w:jc w:val="both"/>
        <w:rPr>
          <w:sz w:val="22"/>
          <w:szCs w:val="22"/>
          <w:lang w:val="lv-LV"/>
        </w:rPr>
      </w:pPr>
      <w:r w:rsidRPr="004C71FC">
        <w:rPr>
          <w:sz w:val="22"/>
          <w:szCs w:val="22"/>
          <w:lang w:val="lv-LV"/>
        </w:rPr>
        <w:t xml:space="preserve">Komisijas loceklis </w:t>
      </w:r>
      <w:proofErr w:type="spellStart"/>
      <w:r w:rsidRPr="004C71FC">
        <w:rPr>
          <w:sz w:val="22"/>
          <w:szCs w:val="22"/>
          <w:lang w:val="lv-LV"/>
        </w:rPr>
        <w:t>I.Kozaks</w:t>
      </w:r>
      <w:proofErr w:type="spellEnd"/>
      <w:r w:rsidRPr="004C71FC">
        <w:rPr>
          <w:sz w:val="22"/>
          <w:szCs w:val="22"/>
          <w:lang w:val="lv-LV"/>
        </w:rPr>
        <w:t xml:space="preserve"> informē, ka nepieciešami precizējumi nolikuma pielikuma Nr.2  1.4.</w:t>
      </w:r>
      <w:r w:rsidRPr="004C71FC">
        <w:rPr>
          <w:sz w:val="22"/>
          <w:szCs w:val="22"/>
          <w:lang w:val="lv-LV"/>
        </w:rPr>
        <w:t xml:space="preserve">3. </w:t>
      </w:r>
      <w:r w:rsidRPr="004C71FC">
        <w:rPr>
          <w:sz w:val="22"/>
          <w:szCs w:val="22"/>
          <w:lang w:val="lv-LV"/>
        </w:rPr>
        <w:t>punktā.</w:t>
      </w:r>
      <w:r>
        <w:rPr>
          <w:sz w:val="22"/>
          <w:szCs w:val="22"/>
          <w:lang w:val="lv-LV"/>
        </w:rPr>
        <w:t xml:space="preserve"> Nepieciešams dzēst </w:t>
      </w:r>
      <w:r w:rsidRPr="004C71FC">
        <w:rPr>
          <w:sz w:val="22"/>
          <w:szCs w:val="22"/>
          <w:lang w:val="lv-LV"/>
        </w:rPr>
        <w:t>iekavas: “(pie nosacījumā, ka XPS modulī tiek iekļauta 2.4.4.2 komponentes)”</w:t>
      </w:r>
      <w:r>
        <w:rPr>
          <w:sz w:val="22"/>
          <w:szCs w:val="22"/>
          <w:lang w:val="lv-LV"/>
        </w:rPr>
        <w:t xml:space="preserve"> jo iekāvās norādītā punkta atsauce neeksistē.</w:t>
      </w:r>
    </w:p>
    <w:p w:rsidR="00EE7F7F" w:rsidRDefault="00EE7F7F" w:rsidP="00AB74B4">
      <w:pPr>
        <w:ind w:right="-19"/>
        <w:jc w:val="both"/>
        <w:rPr>
          <w:sz w:val="22"/>
          <w:szCs w:val="22"/>
          <w:lang w:val="lv-LV"/>
        </w:rPr>
      </w:pPr>
    </w:p>
    <w:p w:rsidR="00A93AB1" w:rsidRPr="00A93AB1" w:rsidRDefault="00A93AB1" w:rsidP="00A93AB1">
      <w:pPr>
        <w:pStyle w:val="ListParagraph"/>
        <w:numPr>
          <w:ilvl w:val="0"/>
          <w:numId w:val="38"/>
        </w:numPr>
        <w:jc w:val="both"/>
        <w:rPr>
          <w:sz w:val="22"/>
          <w:szCs w:val="22"/>
          <w:lang w:val="lv-LV"/>
        </w:rPr>
      </w:pPr>
      <w:r w:rsidRPr="00A93AB1">
        <w:rPr>
          <w:sz w:val="22"/>
          <w:szCs w:val="22"/>
          <w:lang w:val="lv-LV"/>
        </w:rPr>
        <w:t xml:space="preserve">Komisijas locekļi izskata </w:t>
      </w:r>
      <w:proofErr w:type="spellStart"/>
      <w:r w:rsidRPr="00A93AB1">
        <w:rPr>
          <w:sz w:val="22"/>
          <w:szCs w:val="22"/>
          <w:lang w:val="lv-LV"/>
        </w:rPr>
        <w:t>A.Celitāna</w:t>
      </w:r>
      <w:proofErr w:type="spellEnd"/>
      <w:r w:rsidRPr="00A93AB1">
        <w:rPr>
          <w:sz w:val="22"/>
          <w:szCs w:val="22"/>
          <w:lang w:val="lv-LV"/>
        </w:rPr>
        <w:t xml:space="preserve"> ierosinājumu un</w:t>
      </w:r>
      <w:r w:rsidRPr="00A93AB1">
        <w:rPr>
          <w:b/>
          <w:sz w:val="22"/>
          <w:szCs w:val="22"/>
          <w:u w:val="single"/>
          <w:lang w:val="lv-LV"/>
        </w:rPr>
        <w:t xml:space="preserve"> nolemj: </w:t>
      </w:r>
    </w:p>
    <w:p w:rsidR="00A93AB1" w:rsidRPr="00A93AB1" w:rsidRDefault="00A93AB1" w:rsidP="00A93AB1">
      <w:pPr>
        <w:pStyle w:val="ListParagraph"/>
        <w:numPr>
          <w:ilvl w:val="1"/>
          <w:numId w:val="38"/>
        </w:numPr>
        <w:jc w:val="both"/>
        <w:rPr>
          <w:sz w:val="22"/>
          <w:szCs w:val="22"/>
          <w:lang w:val="lv-LV"/>
        </w:rPr>
      </w:pPr>
      <w:r w:rsidRPr="00A93AB1">
        <w:rPr>
          <w:sz w:val="22"/>
          <w:szCs w:val="22"/>
          <w:lang w:val="lv-LV"/>
        </w:rPr>
        <w:t>Precizēt nolikuma punktus, izsakot tos šādā redakcijā:</w:t>
      </w:r>
    </w:p>
    <w:p w:rsidR="00BE2A51" w:rsidRDefault="00BE2A51" w:rsidP="00B37546">
      <w:pPr>
        <w:shd w:val="clear" w:color="auto" w:fill="FFFFFF"/>
        <w:tabs>
          <w:tab w:val="left" w:pos="1134"/>
        </w:tabs>
        <w:jc w:val="both"/>
        <w:rPr>
          <w:color w:val="000000"/>
          <w:spacing w:val="-8"/>
          <w:sz w:val="22"/>
          <w:szCs w:val="22"/>
          <w:u w:val="single"/>
          <w:lang w:val="lv-LV"/>
        </w:rPr>
      </w:pPr>
    </w:p>
    <w:tbl>
      <w:tblPr>
        <w:tblStyle w:val="TableGrid"/>
        <w:tblW w:w="9090" w:type="dxa"/>
        <w:tblInd w:w="-5" w:type="dxa"/>
        <w:tblLayout w:type="fixed"/>
        <w:tblLook w:val="04A0" w:firstRow="1" w:lastRow="0" w:firstColumn="1" w:lastColumn="0" w:noHBand="0" w:noVBand="1"/>
      </w:tblPr>
      <w:tblGrid>
        <w:gridCol w:w="630"/>
        <w:gridCol w:w="1620"/>
        <w:gridCol w:w="3420"/>
        <w:gridCol w:w="3420"/>
      </w:tblGrid>
      <w:tr w:rsidR="00BE2A51" w:rsidRPr="00EC46A1" w:rsidTr="00BE2A51">
        <w:trPr>
          <w:trHeight w:val="676"/>
        </w:trPr>
        <w:tc>
          <w:tcPr>
            <w:tcW w:w="630" w:type="dxa"/>
          </w:tcPr>
          <w:p w:rsidR="00BE2A51" w:rsidRPr="00EC46A1" w:rsidRDefault="00BE2A51" w:rsidP="009A58FC">
            <w:pPr>
              <w:pStyle w:val="ListParagraph"/>
              <w:ind w:left="0"/>
              <w:jc w:val="center"/>
              <w:rPr>
                <w:b/>
                <w:sz w:val="22"/>
                <w:szCs w:val="22"/>
                <w:lang w:val="lv-LV"/>
              </w:rPr>
            </w:pPr>
            <w:r w:rsidRPr="00EC46A1">
              <w:rPr>
                <w:b/>
                <w:sz w:val="22"/>
                <w:szCs w:val="22"/>
                <w:lang w:val="lv-LV"/>
              </w:rPr>
              <w:t>Nr. p. k.</w:t>
            </w:r>
          </w:p>
        </w:tc>
        <w:tc>
          <w:tcPr>
            <w:tcW w:w="1620" w:type="dxa"/>
          </w:tcPr>
          <w:p w:rsidR="00BE2A51" w:rsidRPr="00EC46A1" w:rsidRDefault="00BE2A51" w:rsidP="009A58FC">
            <w:pPr>
              <w:pStyle w:val="ListParagraph"/>
              <w:ind w:left="0"/>
              <w:jc w:val="center"/>
              <w:rPr>
                <w:b/>
                <w:sz w:val="22"/>
                <w:szCs w:val="22"/>
                <w:lang w:val="lv-LV"/>
              </w:rPr>
            </w:pPr>
            <w:r w:rsidRPr="00EC46A1">
              <w:rPr>
                <w:b/>
                <w:sz w:val="22"/>
                <w:szCs w:val="22"/>
                <w:lang w:val="lv-LV"/>
              </w:rPr>
              <w:t>Konkursa nolikuma punkta Nr.</w:t>
            </w:r>
          </w:p>
        </w:tc>
        <w:tc>
          <w:tcPr>
            <w:tcW w:w="3420" w:type="dxa"/>
          </w:tcPr>
          <w:p w:rsidR="00BE2A51" w:rsidRPr="00EC46A1" w:rsidRDefault="00BE2A51" w:rsidP="009A58FC">
            <w:pPr>
              <w:pStyle w:val="ListParagraph"/>
              <w:ind w:left="0"/>
              <w:jc w:val="center"/>
              <w:rPr>
                <w:b/>
                <w:sz w:val="22"/>
                <w:szCs w:val="22"/>
                <w:lang w:val="lv-LV"/>
              </w:rPr>
            </w:pPr>
            <w:r w:rsidRPr="00EC46A1">
              <w:rPr>
                <w:b/>
                <w:sz w:val="22"/>
                <w:szCs w:val="22"/>
                <w:lang w:val="lv-LV"/>
              </w:rPr>
              <w:t>Nolikuma redakcija</w:t>
            </w:r>
          </w:p>
        </w:tc>
        <w:tc>
          <w:tcPr>
            <w:tcW w:w="3420" w:type="dxa"/>
          </w:tcPr>
          <w:p w:rsidR="00BE2A51" w:rsidRPr="00EC46A1" w:rsidRDefault="00BE2A51" w:rsidP="009A58FC">
            <w:pPr>
              <w:pStyle w:val="ListParagraph"/>
              <w:ind w:left="0"/>
              <w:jc w:val="center"/>
              <w:rPr>
                <w:b/>
                <w:sz w:val="22"/>
                <w:szCs w:val="22"/>
                <w:lang w:val="lv-LV"/>
              </w:rPr>
            </w:pPr>
            <w:r w:rsidRPr="00EC46A1">
              <w:rPr>
                <w:b/>
                <w:sz w:val="22"/>
                <w:szCs w:val="22"/>
                <w:lang w:val="lv-LV"/>
              </w:rPr>
              <w:t>Redakcija pēc precizējumiem</w:t>
            </w:r>
          </w:p>
        </w:tc>
      </w:tr>
      <w:tr w:rsidR="00BE2A51" w:rsidRPr="00EC46A1" w:rsidTr="00BE2A51">
        <w:trPr>
          <w:trHeight w:val="676"/>
        </w:trPr>
        <w:tc>
          <w:tcPr>
            <w:tcW w:w="630" w:type="dxa"/>
          </w:tcPr>
          <w:p w:rsidR="00BE2A51" w:rsidRPr="00BE2A51" w:rsidRDefault="00BE2A51" w:rsidP="00BE2A51">
            <w:pPr>
              <w:pStyle w:val="ListParagraph"/>
              <w:ind w:left="0"/>
              <w:rPr>
                <w:sz w:val="22"/>
                <w:szCs w:val="22"/>
                <w:lang w:val="lv-LV"/>
              </w:rPr>
            </w:pPr>
            <w:r w:rsidRPr="00BE2A51">
              <w:rPr>
                <w:sz w:val="22"/>
                <w:szCs w:val="22"/>
                <w:lang w:val="lv-LV"/>
              </w:rPr>
              <w:t>1.</w:t>
            </w:r>
          </w:p>
        </w:tc>
        <w:tc>
          <w:tcPr>
            <w:tcW w:w="1620" w:type="dxa"/>
          </w:tcPr>
          <w:p w:rsidR="00BE2A51" w:rsidRPr="00BE2A51" w:rsidRDefault="00BE2A51" w:rsidP="00BE2A51">
            <w:pPr>
              <w:pStyle w:val="ListParagraph"/>
              <w:ind w:left="0"/>
              <w:rPr>
                <w:sz w:val="22"/>
                <w:szCs w:val="22"/>
                <w:lang w:val="lv-LV"/>
              </w:rPr>
            </w:pPr>
            <w:r w:rsidRPr="00BE2A51">
              <w:rPr>
                <w:sz w:val="22"/>
                <w:szCs w:val="22"/>
                <w:lang w:val="lv-LV"/>
              </w:rPr>
              <w:t>8.5.</w:t>
            </w:r>
          </w:p>
        </w:tc>
        <w:tc>
          <w:tcPr>
            <w:tcW w:w="3420" w:type="dxa"/>
          </w:tcPr>
          <w:p w:rsidR="00BE2A51" w:rsidRPr="00BE2A51" w:rsidRDefault="00BE2A51" w:rsidP="00BE2A51">
            <w:pPr>
              <w:pStyle w:val="ListParagraph"/>
              <w:ind w:left="0"/>
              <w:jc w:val="both"/>
              <w:rPr>
                <w:sz w:val="22"/>
                <w:szCs w:val="22"/>
                <w:lang w:val="lv-LV"/>
              </w:rPr>
            </w:pPr>
            <w:r w:rsidRPr="00BE2A51">
              <w:rPr>
                <w:sz w:val="22"/>
                <w:szCs w:val="22"/>
                <w:lang w:val="lv-LV"/>
              </w:rPr>
              <w:t>Komisijai ir tiesības neizskatīt piedāvājumus, kuru Finanšu piedāvājums pārsniedz 1.9.punktā minēto paredzamo līgumcenu vai izskatīt tikai to Finanšu piedāvājumu, kurš ir lētākais.</w:t>
            </w:r>
          </w:p>
        </w:tc>
        <w:tc>
          <w:tcPr>
            <w:tcW w:w="3420" w:type="dxa"/>
          </w:tcPr>
          <w:p w:rsidR="00BE2A51" w:rsidRPr="00EC46A1" w:rsidRDefault="00BE2A51" w:rsidP="009A58FC">
            <w:pPr>
              <w:pStyle w:val="ListParagraph"/>
              <w:ind w:left="0"/>
              <w:jc w:val="center"/>
              <w:rPr>
                <w:b/>
                <w:sz w:val="22"/>
                <w:szCs w:val="22"/>
                <w:lang w:val="lv-LV"/>
              </w:rPr>
            </w:pPr>
            <w:r>
              <w:rPr>
                <w:b/>
                <w:sz w:val="22"/>
                <w:szCs w:val="22"/>
                <w:lang w:val="lv-LV"/>
              </w:rPr>
              <w:t>Izslēgts.</w:t>
            </w:r>
          </w:p>
        </w:tc>
      </w:tr>
      <w:tr w:rsidR="00BE2A51" w:rsidRPr="00EC46A1" w:rsidTr="00BE2A51">
        <w:trPr>
          <w:trHeight w:val="220"/>
        </w:trPr>
        <w:tc>
          <w:tcPr>
            <w:tcW w:w="630" w:type="dxa"/>
          </w:tcPr>
          <w:p w:rsidR="00BE2A51" w:rsidRPr="00BE2A51" w:rsidRDefault="00BE2A51" w:rsidP="00BE2A51">
            <w:pPr>
              <w:jc w:val="both"/>
              <w:rPr>
                <w:sz w:val="22"/>
                <w:szCs w:val="22"/>
                <w:lang w:val="lv-LV"/>
              </w:rPr>
            </w:pPr>
            <w:r>
              <w:rPr>
                <w:sz w:val="22"/>
                <w:szCs w:val="22"/>
                <w:lang w:val="lv-LV"/>
              </w:rPr>
              <w:t xml:space="preserve">2. </w:t>
            </w:r>
          </w:p>
        </w:tc>
        <w:tc>
          <w:tcPr>
            <w:tcW w:w="1620" w:type="dxa"/>
          </w:tcPr>
          <w:p w:rsidR="00BE2A51" w:rsidRPr="00EC46A1" w:rsidRDefault="00BE2A51" w:rsidP="00BE2A51">
            <w:pPr>
              <w:pStyle w:val="ListParagraph"/>
              <w:ind w:left="0"/>
              <w:jc w:val="both"/>
              <w:rPr>
                <w:sz w:val="22"/>
                <w:szCs w:val="22"/>
                <w:lang w:val="lv-LV"/>
              </w:rPr>
            </w:pPr>
            <w:r w:rsidRPr="009B1C32">
              <w:rPr>
                <w:sz w:val="22"/>
                <w:szCs w:val="22"/>
                <w:lang w:val="lv-LV"/>
              </w:rPr>
              <w:t>1.1</w:t>
            </w:r>
            <w:r>
              <w:rPr>
                <w:sz w:val="22"/>
                <w:szCs w:val="22"/>
                <w:lang w:val="lv-LV"/>
              </w:rPr>
              <w:t>1</w:t>
            </w:r>
            <w:r w:rsidRPr="009B1C32">
              <w:rPr>
                <w:sz w:val="22"/>
                <w:szCs w:val="22"/>
                <w:lang w:val="lv-LV"/>
              </w:rPr>
              <w:t>.1.</w:t>
            </w:r>
          </w:p>
        </w:tc>
        <w:tc>
          <w:tcPr>
            <w:tcW w:w="3420" w:type="dxa"/>
          </w:tcPr>
          <w:p w:rsidR="00BE2A51" w:rsidRPr="009B1C32" w:rsidRDefault="00BE2A51" w:rsidP="00BE2A51">
            <w:pPr>
              <w:pStyle w:val="ListParagraph"/>
              <w:ind w:left="0"/>
              <w:jc w:val="both"/>
              <w:rPr>
                <w:sz w:val="22"/>
                <w:szCs w:val="22"/>
                <w:lang w:val="lv-LV"/>
              </w:rPr>
            </w:pPr>
            <w:r w:rsidRPr="009B1C32">
              <w:rPr>
                <w:sz w:val="22"/>
                <w:szCs w:val="22"/>
                <w:lang w:val="lv-LV"/>
              </w:rPr>
              <w:t xml:space="preserve">Pretendents piedāvājumu iesniedz līdz 2018.gada </w:t>
            </w:r>
            <w:r>
              <w:rPr>
                <w:sz w:val="22"/>
                <w:szCs w:val="22"/>
                <w:lang w:val="lv-LV"/>
              </w:rPr>
              <w:t>6</w:t>
            </w:r>
            <w:r w:rsidRPr="009B1C32">
              <w:rPr>
                <w:sz w:val="22"/>
                <w:szCs w:val="22"/>
                <w:lang w:val="lv-LV"/>
              </w:rPr>
              <w:t>.</w:t>
            </w:r>
            <w:r>
              <w:rPr>
                <w:sz w:val="22"/>
                <w:szCs w:val="22"/>
                <w:lang w:val="lv-LV"/>
              </w:rPr>
              <w:t>augustā</w:t>
            </w:r>
            <w:r w:rsidRPr="009B1C32">
              <w:rPr>
                <w:sz w:val="22"/>
                <w:szCs w:val="22"/>
                <w:lang w:val="lv-LV"/>
              </w:rPr>
              <w:t xml:space="preserve"> plkst.10.00 Elektronisko iepirkumu sistēmas e-konkursu apakšsistēmā.</w:t>
            </w:r>
          </w:p>
        </w:tc>
        <w:tc>
          <w:tcPr>
            <w:tcW w:w="3420" w:type="dxa"/>
          </w:tcPr>
          <w:p w:rsidR="00BE2A51" w:rsidRPr="00EC46A1" w:rsidRDefault="00BE2A51" w:rsidP="00BE2A51">
            <w:pPr>
              <w:jc w:val="both"/>
              <w:rPr>
                <w:sz w:val="22"/>
                <w:szCs w:val="22"/>
                <w:lang w:val="lv-LV"/>
              </w:rPr>
            </w:pPr>
            <w:r w:rsidRPr="009B1C32">
              <w:rPr>
                <w:sz w:val="22"/>
                <w:szCs w:val="22"/>
                <w:lang w:val="lv-LV"/>
              </w:rPr>
              <w:t>Pretendents piedā</w:t>
            </w:r>
            <w:r>
              <w:rPr>
                <w:sz w:val="22"/>
                <w:szCs w:val="22"/>
                <w:lang w:val="lv-LV"/>
              </w:rPr>
              <w:t xml:space="preserve">vājumu iesniedz </w:t>
            </w:r>
            <w:r w:rsidRPr="009B1C32">
              <w:rPr>
                <w:b/>
                <w:sz w:val="22"/>
                <w:szCs w:val="22"/>
                <w:lang w:val="lv-LV"/>
              </w:rPr>
              <w:t xml:space="preserve">līdz 2018.gada </w:t>
            </w:r>
            <w:r>
              <w:rPr>
                <w:b/>
                <w:sz w:val="22"/>
                <w:szCs w:val="22"/>
                <w:lang w:val="lv-LV"/>
              </w:rPr>
              <w:t>3</w:t>
            </w:r>
            <w:r w:rsidRPr="009B1C32">
              <w:rPr>
                <w:b/>
                <w:sz w:val="22"/>
                <w:szCs w:val="22"/>
                <w:lang w:val="lv-LV"/>
              </w:rPr>
              <w:t>.</w:t>
            </w:r>
            <w:r>
              <w:rPr>
                <w:b/>
                <w:sz w:val="22"/>
                <w:szCs w:val="22"/>
                <w:lang w:val="lv-LV"/>
              </w:rPr>
              <w:t>septembrim</w:t>
            </w:r>
            <w:r w:rsidRPr="009B1C32">
              <w:rPr>
                <w:b/>
                <w:sz w:val="22"/>
                <w:szCs w:val="22"/>
                <w:lang w:val="lv-LV"/>
              </w:rPr>
              <w:t xml:space="preserve"> plkst.10.00</w:t>
            </w:r>
            <w:r w:rsidRPr="009B1C32">
              <w:rPr>
                <w:sz w:val="22"/>
                <w:szCs w:val="22"/>
                <w:lang w:val="lv-LV"/>
              </w:rPr>
              <w:t xml:space="preserve"> Elektronisko iepirkumu sistēmas e-konkursu apakšsistēmā.</w:t>
            </w:r>
          </w:p>
        </w:tc>
      </w:tr>
      <w:tr w:rsidR="00BE2A51" w:rsidRPr="00EC46A1" w:rsidTr="00BE2A51">
        <w:trPr>
          <w:trHeight w:val="220"/>
        </w:trPr>
        <w:tc>
          <w:tcPr>
            <w:tcW w:w="630" w:type="dxa"/>
          </w:tcPr>
          <w:p w:rsidR="00BE2A51" w:rsidRPr="00BE2A51" w:rsidRDefault="00BE2A51" w:rsidP="00BE2A51">
            <w:pPr>
              <w:jc w:val="both"/>
              <w:rPr>
                <w:sz w:val="22"/>
                <w:szCs w:val="22"/>
                <w:lang w:val="lv-LV"/>
              </w:rPr>
            </w:pPr>
            <w:r>
              <w:rPr>
                <w:sz w:val="22"/>
                <w:szCs w:val="22"/>
                <w:lang w:val="lv-LV"/>
              </w:rPr>
              <w:t>3.</w:t>
            </w:r>
          </w:p>
        </w:tc>
        <w:tc>
          <w:tcPr>
            <w:tcW w:w="1620" w:type="dxa"/>
          </w:tcPr>
          <w:p w:rsidR="00BE2A51" w:rsidRPr="009B1C32" w:rsidRDefault="00BE2A51" w:rsidP="009A58FC">
            <w:pPr>
              <w:pStyle w:val="ListParagraph"/>
              <w:ind w:left="0"/>
              <w:jc w:val="both"/>
              <w:rPr>
                <w:sz w:val="22"/>
                <w:szCs w:val="22"/>
                <w:lang w:val="lv-LV"/>
              </w:rPr>
            </w:pPr>
            <w:r>
              <w:rPr>
                <w:sz w:val="22"/>
                <w:szCs w:val="22"/>
                <w:lang w:val="lv-LV"/>
              </w:rPr>
              <w:t>1.11</w:t>
            </w:r>
            <w:r w:rsidRPr="009B1C32">
              <w:rPr>
                <w:sz w:val="22"/>
                <w:szCs w:val="22"/>
                <w:lang w:val="lv-LV"/>
              </w:rPr>
              <w:t>.3.</w:t>
            </w:r>
          </w:p>
        </w:tc>
        <w:tc>
          <w:tcPr>
            <w:tcW w:w="3420" w:type="dxa"/>
          </w:tcPr>
          <w:p w:rsidR="00BE2A51" w:rsidRPr="009B1C32" w:rsidRDefault="00BE2A51" w:rsidP="00BE2A51">
            <w:pPr>
              <w:pStyle w:val="ListParagraph"/>
              <w:ind w:left="0"/>
              <w:jc w:val="both"/>
              <w:rPr>
                <w:sz w:val="22"/>
                <w:szCs w:val="22"/>
                <w:lang w:val="lv-LV"/>
              </w:rPr>
            </w:pPr>
            <w:r w:rsidRPr="009B1C32">
              <w:rPr>
                <w:sz w:val="22"/>
                <w:szCs w:val="22"/>
                <w:lang w:val="lv-LV"/>
              </w:rPr>
              <w:t xml:space="preserve">Iesniegtie piedāvājumi tiks atvērti Elektronisko iepirkumu sistēmas e-konkursu apakšsistēmā 2018.gada </w:t>
            </w:r>
            <w:r>
              <w:rPr>
                <w:sz w:val="22"/>
                <w:szCs w:val="22"/>
                <w:lang w:val="lv-LV"/>
              </w:rPr>
              <w:t>6</w:t>
            </w:r>
            <w:r w:rsidRPr="009B1C32">
              <w:rPr>
                <w:sz w:val="22"/>
                <w:szCs w:val="22"/>
                <w:lang w:val="lv-LV"/>
              </w:rPr>
              <w:t>.</w:t>
            </w:r>
            <w:r>
              <w:rPr>
                <w:sz w:val="22"/>
                <w:szCs w:val="22"/>
                <w:lang w:val="lv-LV"/>
              </w:rPr>
              <w:t>augustā</w:t>
            </w:r>
            <w:r w:rsidRPr="009B1C32">
              <w:rPr>
                <w:sz w:val="22"/>
                <w:szCs w:val="22"/>
                <w:lang w:val="lv-LV"/>
              </w:rPr>
              <w:t xml:space="preserve"> plkst.10.00 pēc piedāvājumu iesniegšanas termiņa beigām. Iesniegto piedāvājumu atvēršanas procesam var sekot līdzi tiešsaistes režīmā Elektronisko iepirkumu sistēmas e-konkursu apakšsistēmā.</w:t>
            </w:r>
          </w:p>
        </w:tc>
        <w:tc>
          <w:tcPr>
            <w:tcW w:w="3420" w:type="dxa"/>
          </w:tcPr>
          <w:p w:rsidR="00BE2A51" w:rsidRPr="009B1C32" w:rsidRDefault="00BE2A51" w:rsidP="00BE2A51">
            <w:pPr>
              <w:jc w:val="both"/>
              <w:rPr>
                <w:sz w:val="22"/>
                <w:szCs w:val="22"/>
                <w:lang w:val="lv-LV"/>
              </w:rPr>
            </w:pPr>
            <w:r w:rsidRPr="009B1C32">
              <w:rPr>
                <w:sz w:val="22"/>
                <w:szCs w:val="22"/>
                <w:lang w:val="lv-LV"/>
              </w:rPr>
              <w:t>Iesniegtie piedāvājumi tiks atvērti Elektronisko iepirkumu sistēmas e-k</w:t>
            </w:r>
            <w:r>
              <w:rPr>
                <w:sz w:val="22"/>
                <w:szCs w:val="22"/>
                <w:lang w:val="lv-LV"/>
              </w:rPr>
              <w:t xml:space="preserve">onkursu apakšsistēmā </w:t>
            </w:r>
            <w:r>
              <w:rPr>
                <w:b/>
                <w:sz w:val="22"/>
                <w:szCs w:val="22"/>
                <w:lang w:val="lv-LV"/>
              </w:rPr>
              <w:t>2018.gada 3</w:t>
            </w:r>
            <w:r w:rsidRPr="009B1C32">
              <w:rPr>
                <w:b/>
                <w:sz w:val="22"/>
                <w:szCs w:val="22"/>
                <w:lang w:val="lv-LV"/>
              </w:rPr>
              <w:t>.</w:t>
            </w:r>
            <w:r>
              <w:rPr>
                <w:b/>
                <w:sz w:val="22"/>
                <w:szCs w:val="22"/>
                <w:lang w:val="lv-LV"/>
              </w:rPr>
              <w:t>septembrim</w:t>
            </w:r>
            <w:r w:rsidRPr="009B1C32">
              <w:rPr>
                <w:b/>
                <w:sz w:val="22"/>
                <w:szCs w:val="22"/>
                <w:lang w:val="lv-LV"/>
              </w:rPr>
              <w:t xml:space="preserve"> plkst.10.00 </w:t>
            </w:r>
            <w:r w:rsidRPr="009B1C32">
              <w:rPr>
                <w:sz w:val="22"/>
                <w:szCs w:val="22"/>
                <w:lang w:val="lv-LV"/>
              </w:rPr>
              <w:t>pēc piedāvājumu iesniegšanas termiņa beigām. Iesniegto piedāvājumu atvēršanas procesam var sekot līdzi tiešsaistes režīmā Elektronisko iepirkumu sistēmas e-konkursu apakšsistēmā.</w:t>
            </w:r>
          </w:p>
        </w:tc>
      </w:tr>
      <w:tr w:rsidR="00BE2A51" w:rsidRPr="00EC46A1" w:rsidTr="00BE2A51">
        <w:trPr>
          <w:trHeight w:val="220"/>
        </w:trPr>
        <w:tc>
          <w:tcPr>
            <w:tcW w:w="630" w:type="dxa"/>
          </w:tcPr>
          <w:p w:rsidR="00BE2A51" w:rsidRDefault="00BE2A51" w:rsidP="00BE2A51">
            <w:pPr>
              <w:jc w:val="both"/>
              <w:rPr>
                <w:sz w:val="22"/>
                <w:szCs w:val="22"/>
                <w:lang w:val="lv-LV"/>
              </w:rPr>
            </w:pPr>
            <w:r>
              <w:rPr>
                <w:sz w:val="22"/>
                <w:szCs w:val="22"/>
                <w:lang w:val="lv-LV"/>
              </w:rPr>
              <w:lastRenderedPageBreak/>
              <w:t>4.</w:t>
            </w:r>
          </w:p>
        </w:tc>
        <w:tc>
          <w:tcPr>
            <w:tcW w:w="1620" w:type="dxa"/>
          </w:tcPr>
          <w:p w:rsidR="00BE2A51" w:rsidRDefault="00BE2A51" w:rsidP="009A58FC">
            <w:pPr>
              <w:pStyle w:val="ListParagraph"/>
              <w:ind w:left="0"/>
              <w:jc w:val="both"/>
              <w:rPr>
                <w:sz w:val="22"/>
                <w:szCs w:val="22"/>
                <w:lang w:val="lv-LV"/>
              </w:rPr>
            </w:pPr>
            <w:r>
              <w:rPr>
                <w:sz w:val="22"/>
                <w:szCs w:val="22"/>
                <w:lang w:val="lv-LV"/>
              </w:rPr>
              <w:t>pielikuma Nr.2</w:t>
            </w:r>
            <w:r w:rsidRPr="00757B2D">
              <w:t xml:space="preserve"> </w:t>
            </w:r>
            <w:r>
              <w:t>p</w:t>
            </w:r>
            <w:proofErr w:type="spellStart"/>
            <w:r w:rsidRPr="00757B2D">
              <w:rPr>
                <w:sz w:val="22"/>
                <w:szCs w:val="22"/>
                <w:lang w:val="lv-LV"/>
              </w:rPr>
              <w:t>irmās</w:t>
            </w:r>
            <w:proofErr w:type="spellEnd"/>
            <w:r w:rsidRPr="00757B2D">
              <w:rPr>
                <w:sz w:val="22"/>
                <w:szCs w:val="22"/>
                <w:lang w:val="lv-LV"/>
              </w:rPr>
              <w:t xml:space="preserve"> tabulas iepir</w:t>
            </w:r>
            <w:r>
              <w:rPr>
                <w:sz w:val="22"/>
                <w:szCs w:val="22"/>
                <w:lang w:val="lv-LV"/>
              </w:rPr>
              <w:t>kuma priekšmeta pozīcija Nr.</w:t>
            </w:r>
            <w:r w:rsidRPr="00757B2D">
              <w:rPr>
                <w:sz w:val="22"/>
                <w:szCs w:val="22"/>
                <w:lang w:val="lv-LV"/>
              </w:rPr>
              <w:t>1.4.</w:t>
            </w:r>
          </w:p>
        </w:tc>
        <w:tc>
          <w:tcPr>
            <w:tcW w:w="3420" w:type="dxa"/>
          </w:tcPr>
          <w:p w:rsidR="00BE2A51" w:rsidRPr="009B1C32" w:rsidRDefault="00BE2A51" w:rsidP="00BE2A51">
            <w:pPr>
              <w:pStyle w:val="ListParagraph"/>
              <w:ind w:left="0"/>
              <w:jc w:val="both"/>
              <w:rPr>
                <w:sz w:val="22"/>
                <w:szCs w:val="22"/>
                <w:lang w:val="lv-LV"/>
              </w:rPr>
            </w:pPr>
            <w:r w:rsidRPr="00BE2A51">
              <w:rPr>
                <w:sz w:val="22"/>
                <w:szCs w:val="22"/>
                <w:lang w:val="lv-LV"/>
              </w:rPr>
              <w:t>Komponentes/moduļi, kuru iegādi Pasūtītājs izvērtē atbilstoši atlikušajam /pieejamajam budžetam (netiek vērtētas kopēja finanšu piedāvājuma cenā):</w:t>
            </w:r>
          </w:p>
        </w:tc>
        <w:tc>
          <w:tcPr>
            <w:tcW w:w="3420" w:type="dxa"/>
          </w:tcPr>
          <w:p w:rsidR="00BE2A51" w:rsidRPr="009B1C32" w:rsidRDefault="00BE2A51" w:rsidP="00BE2A51">
            <w:pPr>
              <w:jc w:val="both"/>
              <w:rPr>
                <w:sz w:val="22"/>
                <w:szCs w:val="22"/>
                <w:lang w:val="lv-LV"/>
              </w:rPr>
            </w:pPr>
            <w:r w:rsidRPr="00BE2A51">
              <w:rPr>
                <w:sz w:val="22"/>
                <w:szCs w:val="22"/>
                <w:lang w:val="lv-LV"/>
              </w:rPr>
              <w:t>Komponentes/moduļi, kuru iegādi Pasūtītājs izvērtē atbilstoši at</w:t>
            </w:r>
            <w:r>
              <w:rPr>
                <w:sz w:val="22"/>
                <w:szCs w:val="22"/>
                <w:lang w:val="lv-LV"/>
              </w:rPr>
              <w:t>likušajam /pieejamajam budžetam</w:t>
            </w:r>
          </w:p>
        </w:tc>
      </w:tr>
      <w:tr w:rsidR="00E86A75" w:rsidRPr="00EC46A1" w:rsidTr="00BE2A51">
        <w:trPr>
          <w:trHeight w:val="220"/>
        </w:trPr>
        <w:tc>
          <w:tcPr>
            <w:tcW w:w="630" w:type="dxa"/>
          </w:tcPr>
          <w:p w:rsidR="00E86A75" w:rsidRDefault="00E86A75" w:rsidP="00E86A75">
            <w:pPr>
              <w:jc w:val="both"/>
              <w:rPr>
                <w:sz w:val="22"/>
                <w:szCs w:val="22"/>
                <w:lang w:val="lv-LV"/>
              </w:rPr>
            </w:pPr>
            <w:r>
              <w:rPr>
                <w:sz w:val="22"/>
                <w:szCs w:val="22"/>
                <w:lang w:val="lv-LV"/>
              </w:rPr>
              <w:t>5.</w:t>
            </w:r>
          </w:p>
        </w:tc>
        <w:tc>
          <w:tcPr>
            <w:tcW w:w="1620" w:type="dxa"/>
          </w:tcPr>
          <w:p w:rsidR="00E86A75" w:rsidRDefault="00E86A75" w:rsidP="00E86A75">
            <w:pPr>
              <w:pStyle w:val="ListParagraph"/>
              <w:ind w:left="0"/>
              <w:jc w:val="both"/>
              <w:rPr>
                <w:sz w:val="22"/>
                <w:szCs w:val="22"/>
                <w:lang w:val="lv-LV"/>
              </w:rPr>
            </w:pPr>
            <w:r>
              <w:rPr>
                <w:sz w:val="22"/>
                <w:szCs w:val="22"/>
                <w:lang w:val="lv-LV"/>
              </w:rPr>
              <w:t>pielikuma Nr.2</w:t>
            </w:r>
            <w:r w:rsidRPr="00757B2D">
              <w:t xml:space="preserve"> </w:t>
            </w:r>
            <w:r>
              <w:t>p</w:t>
            </w:r>
            <w:proofErr w:type="spellStart"/>
            <w:r w:rsidRPr="00757B2D">
              <w:rPr>
                <w:sz w:val="22"/>
                <w:szCs w:val="22"/>
                <w:lang w:val="lv-LV"/>
              </w:rPr>
              <w:t>irmās</w:t>
            </w:r>
            <w:proofErr w:type="spellEnd"/>
            <w:r w:rsidRPr="00757B2D">
              <w:rPr>
                <w:sz w:val="22"/>
                <w:szCs w:val="22"/>
                <w:lang w:val="lv-LV"/>
              </w:rPr>
              <w:t xml:space="preserve"> tabulas iepir</w:t>
            </w:r>
            <w:r>
              <w:rPr>
                <w:sz w:val="22"/>
                <w:szCs w:val="22"/>
                <w:lang w:val="lv-LV"/>
              </w:rPr>
              <w:t>kuma priekšmeta pozīcija Nr.</w:t>
            </w:r>
            <w:r w:rsidRPr="00757B2D">
              <w:rPr>
                <w:sz w:val="22"/>
                <w:szCs w:val="22"/>
                <w:lang w:val="lv-LV"/>
              </w:rPr>
              <w:t>1.4.</w:t>
            </w:r>
          </w:p>
        </w:tc>
        <w:tc>
          <w:tcPr>
            <w:tcW w:w="3420" w:type="dxa"/>
          </w:tcPr>
          <w:p w:rsidR="00E86A75" w:rsidRPr="00E86A75" w:rsidRDefault="00E86A75" w:rsidP="00E86A75">
            <w:pPr>
              <w:jc w:val="both"/>
              <w:rPr>
                <w:sz w:val="22"/>
                <w:szCs w:val="22"/>
                <w:lang w:val="lv-LV"/>
              </w:rPr>
            </w:pPr>
            <w:r w:rsidRPr="00E86A75">
              <w:rPr>
                <w:sz w:val="22"/>
                <w:szCs w:val="22"/>
                <w:lang w:val="lv-LV"/>
              </w:rPr>
              <w:t>1.4.</w:t>
            </w:r>
            <w:r w:rsidRPr="00E86A75">
              <w:rPr>
                <w:sz w:val="22"/>
                <w:szCs w:val="22"/>
                <w:lang w:val="lv-LV"/>
              </w:rPr>
              <w:tab/>
              <w:t>Komponentes/moduļi</w:t>
            </w:r>
          </w:p>
          <w:p w:rsidR="00E86A75" w:rsidRPr="00E86A75" w:rsidRDefault="00E86A75" w:rsidP="00E86A75">
            <w:pPr>
              <w:jc w:val="both"/>
              <w:rPr>
                <w:sz w:val="22"/>
                <w:szCs w:val="22"/>
                <w:lang w:val="lv-LV"/>
              </w:rPr>
            </w:pPr>
            <w:r w:rsidRPr="00E86A75">
              <w:rPr>
                <w:sz w:val="22"/>
                <w:szCs w:val="22"/>
                <w:lang w:val="lv-LV"/>
              </w:rPr>
              <w:t>Ja Pasūtītājam nebūs pieejami finanšu līdzekļi visa iepirkuma priekšmeta iegādei, Pasūtītājam ir tiesības atteikties no jebkuras, jebkurām vai visām 1.4. punktā iepirkuma priekšmeta pozīcijām šādā secībā:</w:t>
            </w:r>
          </w:p>
          <w:p w:rsidR="00E86A75" w:rsidRPr="00E86A75" w:rsidRDefault="00E86A75" w:rsidP="00E86A75">
            <w:pPr>
              <w:jc w:val="both"/>
              <w:rPr>
                <w:sz w:val="22"/>
                <w:szCs w:val="22"/>
                <w:lang w:val="lv-LV"/>
              </w:rPr>
            </w:pPr>
            <w:r w:rsidRPr="00E86A75">
              <w:rPr>
                <w:sz w:val="22"/>
                <w:szCs w:val="22"/>
                <w:lang w:val="lv-LV"/>
              </w:rPr>
              <w:t>1) Pozīcija 1.4.2 Paraugu turētāji ar temperatūras kontroli (XPS modulim).</w:t>
            </w:r>
          </w:p>
          <w:p w:rsidR="00E86A75" w:rsidRPr="00E86A75" w:rsidRDefault="00E86A75" w:rsidP="00E86A75">
            <w:pPr>
              <w:jc w:val="both"/>
              <w:rPr>
                <w:sz w:val="22"/>
                <w:szCs w:val="22"/>
                <w:lang w:val="lv-LV"/>
              </w:rPr>
            </w:pPr>
            <w:r w:rsidRPr="00E86A75">
              <w:rPr>
                <w:sz w:val="22"/>
                <w:szCs w:val="22"/>
                <w:lang w:val="lv-LV"/>
              </w:rPr>
              <w:t xml:space="preserve">2) Pozīcija 1.4.3 Paraugu sildīšanas/dzesēšanas ierīce sagatavošanas kamerā (XPS modulim). </w:t>
            </w:r>
          </w:p>
          <w:p w:rsidR="00E86A75" w:rsidRPr="00E86A75" w:rsidRDefault="00E86A75" w:rsidP="00E86A75">
            <w:pPr>
              <w:jc w:val="both"/>
              <w:rPr>
                <w:sz w:val="22"/>
                <w:szCs w:val="22"/>
                <w:lang w:val="lv-LV"/>
              </w:rPr>
            </w:pPr>
            <w:r w:rsidRPr="00E86A75">
              <w:rPr>
                <w:sz w:val="22"/>
                <w:szCs w:val="22"/>
                <w:lang w:val="lv-LV"/>
              </w:rPr>
              <w:t xml:space="preserve">3) Pozīcija 1.4.1 UV </w:t>
            </w:r>
            <w:proofErr w:type="spellStart"/>
            <w:r w:rsidRPr="00E86A75">
              <w:rPr>
                <w:sz w:val="22"/>
                <w:szCs w:val="22"/>
                <w:lang w:val="lv-LV"/>
              </w:rPr>
              <w:t>fotoelektronu</w:t>
            </w:r>
            <w:proofErr w:type="spellEnd"/>
            <w:r w:rsidRPr="00E86A75">
              <w:rPr>
                <w:sz w:val="22"/>
                <w:szCs w:val="22"/>
                <w:lang w:val="lv-LV"/>
              </w:rPr>
              <w:t xml:space="preserve"> </w:t>
            </w:r>
            <w:proofErr w:type="spellStart"/>
            <w:r w:rsidRPr="00E86A75">
              <w:rPr>
                <w:sz w:val="22"/>
                <w:szCs w:val="22"/>
                <w:lang w:val="lv-LV"/>
              </w:rPr>
              <w:t>spektroskopijas</w:t>
            </w:r>
            <w:proofErr w:type="spellEnd"/>
            <w:r w:rsidRPr="00E86A75">
              <w:rPr>
                <w:sz w:val="22"/>
                <w:szCs w:val="22"/>
                <w:lang w:val="lv-LV"/>
              </w:rPr>
              <w:t xml:space="preserve"> modulis (XPS modulim).</w:t>
            </w:r>
          </w:p>
          <w:p w:rsidR="00E86A75" w:rsidRPr="00E86A75" w:rsidRDefault="00E86A75" w:rsidP="00E86A75">
            <w:pPr>
              <w:jc w:val="both"/>
              <w:rPr>
                <w:sz w:val="22"/>
                <w:szCs w:val="22"/>
                <w:lang w:val="lv-LV"/>
              </w:rPr>
            </w:pPr>
            <w:r w:rsidRPr="00E86A75">
              <w:rPr>
                <w:sz w:val="22"/>
                <w:szCs w:val="22"/>
                <w:lang w:val="lv-LV"/>
              </w:rPr>
              <w:t>4) Pozīcija 1.4.5 Sudraba materiāla monohromatiskais rentgenstara avots (XPS modulim).</w:t>
            </w:r>
          </w:p>
          <w:p w:rsidR="00E86A75" w:rsidRPr="00E86A75" w:rsidRDefault="00E86A75" w:rsidP="00E86A75">
            <w:pPr>
              <w:jc w:val="both"/>
              <w:rPr>
                <w:sz w:val="22"/>
                <w:szCs w:val="22"/>
                <w:lang w:val="lv-LV"/>
              </w:rPr>
            </w:pPr>
            <w:r w:rsidRPr="00E86A75">
              <w:rPr>
                <w:sz w:val="22"/>
                <w:szCs w:val="22"/>
                <w:lang w:val="lv-LV"/>
              </w:rPr>
              <w:t>5) Pozīcija 1.4.4 Jonu avots paraugu attīrīšanai (XPS modulim).</w:t>
            </w:r>
          </w:p>
          <w:p w:rsidR="00E86A75" w:rsidRPr="00BE2A51" w:rsidRDefault="00E86A75" w:rsidP="00E86A75">
            <w:pPr>
              <w:pStyle w:val="ListParagraph"/>
              <w:ind w:left="0"/>
              <w:jc w:val="both"/>
              <w:rPr>
                <w:sz w:val="22"/>
                <w:szCs w:val="22"/>
                <w:lang w:val="lv-LV"/>
              </w:rPr>
            </w:pPr>
            <w:r>
              <w:rPr>
                <w:sz w:val="22"/>
                <w:szCs w:val="22"/>
                <w:lang w:val="lv-LV"/>
              </w:rPr>
              <w:t>6)</w:t>
            </w:r>
            <w:r w:rsidRPr="00E86A75">
              <w:rPr>
                <w:sz w:val="22"/>
                <w:szCs w:val="22"/>
                <w:lang w:val="lv-LV"/>
              </w:rPr>
              <w:t xml:space="preserve">Pozīcija 1.4.6 Dziļuma profilēšanas modulis (sekundāro jonu </w:t>
            </w:r>
            <w:proofErr w:type="spellStart"/>
            <w:r w:rsidRPr="00E86A75">
              <w:rPr>
                <w:sz w:val="22"/>
                <w:szCs w:val="22"/>
                <w:lang w:val="lv-LV"/>
              </w:rPr>
              <w:t>masspektrometrijas</w:t>
            </w:r>
            <w:proofErr w:type="spellEnd"/>
            <w:r w:rsidRPr="00E86A75">
              <w:rPr>
                <w:sz w:val="22"/>
                <w:szCs w:val="22"/>
                <w:lang w:val="lv-LV"/>
              </w:rPr>
              <w:t xml:space="preserve"> modulim).</w:t>
            </w:r>
          </w:p>
        </w:tc>
        <w:tc>
          <w:tcPr>
            <w:tcW w:w="3420" w:type="dxa"/>
          </w:tcPr>
          <w:p w:rsidR="00E86A75" w:rsidRPr="00E86A75" w:rsidRDefault="00E86A75" w:rsidP="00E86A75">
            <w:pPr>
              <w:jc w:val="both"/>
              <w:rPr>
                <w:sz w:val="22"/>
                <w:szCs w:val="22"/>
                <w:lang w:val="lv-LV"/>
              </w:rPr>
            </w:pPr>
            <w:r w:rsidRPr="00E86A75">
              <w:rPr>
                <w:sz w:val="22"/>
                <w:szCs w:val="22"/>
                <w:lang w:val="lv-LV"/>
              </w:rPr>
              <w:t>1.4.</w:t>
            </w:r>
            <w:r w:rsidRPr="00E86A75">
              <w:rPr>
                <w:sz w:val="22"/>
                <w:szCs w:val="22"/>
                <w:lang w:val="lv-LV"/>
              </w:rPr>
              <w:tab/>
              <w:t>Komponentes/moduļi</w:t>
            </w:r>
          </w:p>
          <w:p w:rsidR="00E86A75" w:rsidRPr="00E86A75" w:rsidRDefault="00E86A75" w:rsidP="00E86A75">
            <w:pPr>
              <w:jc w:val="both"/>
              <w:rPr>
                <w:sz w:val="22"/>
                <w:szCs w:val="22"/>
                <w:lang w:val="lv-LV"/>
              </w:rPr>
            </w:pPr>
            <w:r w:rsidRPr="00E86A75">
              <w:rPr>
                <w:sz w:val="22"/>
                <w:szCs w:val="22"/>
                <w:lang w:val="lv-LV"/>
              </w:rPr>
              <w:t>Ja Pasūtītājam nebūs pieejami finanšu līdzekļi visa iepirkuma priekšmeta iegādei, Pasūtītājam ir tiesības atteikties no jebkuras, jebkurām vai visām 1.4. punktā iepirkuma priekšmeta pozīcijām šādā secībā:</w:t>
            </w:r>
          </w:p>
          <w:p w:rsidR="00E86A75" w:rsidRPr="00E86A75" w:rsidRDefault="00E86A75" w:rsidP="00E86A75">
            <w:pPr>
              <w:jc w:val="both"/>
              <w:rPr>
                <w:sz w:val="22"/>
                <w:szCs w:val="22"/>
                <w:lang w:val="lv-LV"/>
              </w:rPr>
            </w:pPr>
            <w:r w:rsidRPr="00E86A75">
              <w:rPr>
                <w:sz w:val="22"/>
                <w:szCs w:val="22"/>
                <w:lang w:val="lv-LV"/>
              </w:rPr>
              <w:t xml:space="preserve">1)Pozīcija 1.4.3 Paraugu sildīšanas/dzesēšanas ierīce sagatavošanas kamerā (XPS modulim). </w:t>
            </w:r>
          </w:p>
          <w:p w:rsidR="00E86A75" w:rsidRPr="00E86A75" w:rsidRDefault="00E86A75" w:rsidP="00E86A75">
            <w:pPr>
              <w:jc w:val="both"/>
              <w:rPr>
                <w:sz w:val="22"/>
                <w:szCs w:val="22"/>
                <w:lang w:val="lv-LV"/>
              </w:rPr>
            </w:pPr>
            <w:r>
              <w:rPr>
                <w:sz w:val="22"/>
                <w:szCs w:val="22"/>
                <w:lang w:val="lv-LV"/>
              </w:rPr>
              <w:t>2)</w:t>
            </w:r>
            <w:r w:rsidRPr="00E86A75">
              <w:rPr>
                <w:sz w:val="22"/>
                <w:szCs w:val="22"/>
                <w:lang w:val="lv-LV"/>
              </w:rPr>
              <w:t>Pozīcija 1.4.2 Paraugu turētāji ar temperatūras kontroli (XPS modulim).</w:t>
            </w:r>
          </w:p>
          <w:p w:rsidR="00E86A75" w:rsidRPr="00E86A75" w:rsidRDefault="00E86A75" w:rsidP="00E86A75">
            <w:pPr>
              <w:jc w:val="both"/>
              <w:rPr>
                <w:sz w:val="22"/>
                <w:szCs w:val="22"/>
                <w:lang w:val="lv-LV"/>
              </w:rPr>
            </w:pPr>
            <w:r w:rsidRPr="00E86A75">
              <w:rPr>
                <w:sz w:val="22"/>
                <w:szCs w:val="22"/>
                <w:lang w:val="lv-LV"/>
              </w:rPr>
              <w:t xml:space="preserve">3) Pozīcija 1.4.1 UV </w:t>
            </w:r>
            <w:proofErr w:type="spellStart"/>
            <w:r w:rsidRPr="00E86A75">
              <w:rPr>
                <w:sz w:val="22"/>
                <w:szCs w:val="22"/>
                <w:lang w:val="lv-LV"/>
              </w:rPr>
              <w:t>fotoelektronu</w:t>
            </w:r>
            <w:proofErr w:type="spellEnd"/>
            <w:r w:rsidRPr="00E86A75">
              <w:rPr>
                <w:sz w:val="22"/>
                <w:szCs w:val="22"/>
                <w:lang w:val="lv-LV"/>
              </w:rPr>
              <w:t xml:space="preserve"> </w:t>
            </w:r>
            <w:proofErr w:type="spellStart"/>
            <w:r w:rsidRPr="00E86A75">
              <w:rPr>
                <w:sz w:val="22"/>
                <w:szCs w:val="22"/>
                <w:lang w:val="lv-LV"/>
              </w:rPr>
              <w:t>spektroskopijas</w:t>
            </w:r>
            <w:proofErr w:type="spellEnd"/>
            <w:r w:rsidRPr="00E86A75">
              <w:rPr>
                <w:sz w:val="22"/>
                <w:szCs w:val="22"/>
                <w:lang w:val="lv-LV"/>
              </w:rPr>
              <w:t xml:space="preserve"> modulis (XPS modulim).</w:t>
            </w:r>
          </w:p>
          <w:p w:rsidR="00E86A75" w:rsidRPr="00E86A75" w:rsidRDefault="00E86A75" w:rsidP="00E86A75">
            <w:pPr>
              <w:jc w:val="both"/>
              <w:rPr>
                <w:sz w:val="22"/>
                <w:szCs w:val="22"/>
                <w:lang w:val="lv-LV"/>
              </w:rPr>
            </w:pPr>
            <w:r w:rsidRPr="00E86A75">
              <w:rPr>
                <w:sz w:val="22"/>
                <w:szCs w:val="22"/>
                <w:lang w:val="lv-LV"/>
              </w:rPr>
              <w:t>4) Pozīcija 1.4.5 Sudraba materiāla monohromatiskais rentgenstara avots (XPS modulim).</w:t>
            </w:r>
          </w:p>
          <w:p w:rsidR="00E86A75" w:rsidRPr="00E86A75" w:rsidRDefault="00E86A75" w:rsidP="00E86A75">
            <w:pPr>
              <w:jc w:val="both"/>
              <w:rPr>
                <w:sz w:val="22"/>
                <w:szCs w:val="22"/>
                <w:lang w:val="lv-LV"/>
              </w:rPr>
            </w:pPr>
            <w:r w:rsidRPr="00E86A75">
              <w:rPr>
                <w:sz w:val="22"/>
                <w:szCs w:val="22"/>
                <w:lang w:val="lv-LV"/>
              </w:rPr>
              <w:t>5) Pozīcija 1.4.4 Jonu avots paraugu attīrīšanai (XPS modulim).</w:t>
            </w:r>
          </w:p>
          <w:p w:rsidR="00E86A75" w:rsidRPr="00BE2A51" w:rsidRDefault="00E86A75" w:rsidP="00E86A75">
            <w:pPr>
              <w:pStyle w:val="ListParagraph"/>
              <w:ind w:left="0"/>
              <w:jc w:val="both"/>
              <w:rPr>
                <w:sz w:val="22"/>
                <w:szCs w:val="22"/>
                <w:lang w:val="lv-LV"/>
              </w:rPr>
            </w:pPr>
            <w:r>
              <w:rPr>
                <w:sz w:val="22"/>
                <w:szCs w:val="22"/>
                <w:lang w:val="lv-LV"/>
              </w:rPr>
              <w:t>6)</w:t>
            </w:r>
            <w:r w:rsidRPr="00E86A75">
              <w:rPr>
                <w:sz w:val="22"/>
                <w:szCs w:val="22"/>
                <w:lang w:val="lv-LV"/>
              </w:rPr>
              <w:t xml:space="preserve">Pozīcija 1.4.6 Dziļuma profilēšanas modulis (sekundāro jonu </w:t>
            </w:r>
            <w:proofErr w:type="spellStart"/>
            <w:r w:rsidRPr="00E86A75">
              <w:rPr>
                <w:sz w:val="22"/>
                <w:szCs w:val="22"/>
                <w:lang w:val="lv-LV"/>
              </w:rPr>
              <w:t>masspektrometrijas</w:t>
            </w:r>
            <w:proofErr w:type="spellEnd"/>
            <w:r w:rsidRPr="00E86A75">
              <w:rPr>
                <w:sz w:val="22"/>
                <w:szCs w:val="22"/>
                <w:lang w:val="lv-LV"/>
              </w:rPr>
              <w:t xml:space="preserve"> modulim).</w:t>
            </w:r>
          </w:p>
        </w:tc>
      </w:tr>
      <w:tr w:rsidR="00E86A75" w:rsidRPr="00EC46A1" w:rsidTr="00BE2A51">
        <w:trPr>
          <w:trHeight w:val="220"/>
        </w:trPr>
        <w:tc>
          <w:tcPr>
            <w:tcW w:w="630" w:type="dxa"/>
          </w:tcPr>
          <w:p w:rsidR="00E86A75" w:rsidRDefault="00E86A75" w:rsidP="00E86A75">
            <w:pPr>
              <w:jc w:val="both"/>
              <w:rPr>
                <w:sz w:val="22"/>
                <w:szCs w:val="22"/>
                <w:lang w:val="lv-LV"/>
              </w:rPr>
            </w:pPr>
            <w:r>
              <w:rPr>
                <w:sz w:val="22"/>
                <w:szCs w:val="22"/>
                <w:lang w:val="lv-LV"/>
              </w:rPr>
              <w:t>6.</w:t>
            </w:r>
          </w:p>
        </w:tc>
        <w:tc>
          <w:tcPr>
            <w:tcW w:w="1620" w:type="dxa"/>
          </w:tcPr>
          <w:p w:rsidR="00E86A75" w:rsidRDefault="00E86A75" w:rsidP="00E86A75">
            <w:pPr>
              <w:pStyle w:val="ListParagraph"/>
              <w:ind w:left="0"/>
              <w:jc w:val="both"/>
              <w:rPr>
                <w:sz w:val="22"/>
                <w:szCs w:val="22"/>
                <w:lang w:val="lv-LV"/>
              </w:rPr>
            </w:pPr>
            <w:r>
              <w:rPr>
                <w:sz w:val="22"/>
                <w:szCs w:val="22"/>
                <w:lang w:val="lv-LV"/>
              </w:rPr>
              <w:t>9.3.</w:t>
            </w:r>
          </w:p>
        </w:tc>
        <w:tc>
          <w:tcPr>
            <w:tcW w:w="3420" w:type="dxa"/>
          </w:tcPr>
          <w:p w:rsidR="00E86A75" w:rsidRPr="00E86A75" w:rsidRDefault="00E86A75" w:rsidP="00E86A75">
            <w:pPr>
              <w:jc w:val="both"/>
              <w:rPr>
                <w:sz w:val="22"/>
                <w:szCs w:val="22"/>
                <w:lang w:val="lv-LV"/>
              </w:rPr>
            </w:pPr>
            <w:r w:rsidRPr="00E86A75">
              <w:rPr>
                <w:sz w:val="22"/>
                <w:szCs w:val="22"/>
                <w:lang w:val="lv-LV"/>
              </w:rPr>
              <w:t>9.3.</w:t>
            </w:r>
            <w:r w:rsidRPr="00E86A75">
              <w:rPr>
                <w:sz w:val="22"/>
                <w:szCs w:val="22"/>
                <w:lang w:val="lv-LV"/>
              </w:rPr>
              <w:tab/>
              <w:t xml:space="preserve">Ja Pasūtītājam nebūs pieejami finanšu līdzekļi visa iepirkuma priekšmeta iegādei, Pasūtītājam ir tiesības atteikties no jebkuras, jebkurām vai visām Tehniskās specifikācijas (nolikuma pielikums Nr.2) 1.4. punkta iepirkuma priekšmeta pozīcijām šādā secībā: </w:t>
            </w:r>
          </w:p>
          <w:p w:rsidR="00E86A75" w:rsidRPr="00E86A75" w:rsidRDefault="00E86A75" w:rsidP="00E86A75">
            <w:pPr>
              <w:jc w:val="both"/>
              <w:rPr>
                <w:sz w:val="22"/>
                <w:szCs w:val="22"/>
                <w:lang w:val="lv-LV"/>
              </w:rPr>
            </w:pPr>
            <w:r w:rsidRPr="00E86A75">
              <w:rPr>
                <w:sz w:val="22"/>
                <w:szCs w:val="22"/>
                <w:lang w:val="lv-LV"/>
              </w:rPr>
              <w:t>1) Pozīcija 1.4.2 Paraugu turētāji ar temperatūras kontroli (XPS modulim).</w:t>
            </w:r>
          </w:p>
          <w:p w:rsidR="00E86A75" w:rsidRPr="00E86A75" w:rsidRDefault="00E86A75" w:rsidP="00E86A75">
            <w:pPr>
              <w:jc w:val="both"/>
              <w:rPr>
                <w:sz w:val="22"/>
                <w:szCs w:val="22"/>
                <w:lang w:val="lv-LV"/>
              </w:rPr>
            </w:pPr>
            <w:r w:rsidRPr="00E86A75">
              <w:rPr>
                <w:sz w:val="22"/>
                <w:szCs w:val="22"/>
                <w:lang w:val="lv-LV"/>
              </w:rPr>
              <w:t>2) Pozīcija 1.4.3 Paraugu sildīšanas/dzesēšanas ierīce sagatavošanas kamerā (XPS modulim).</w:t>
            </w:r>
          </w:p>
          <w:p w:rsidR="00E86A75" w:rsidRPr="00E86A75" w:rsidRDefault="00E86A75" w:rsidP="00E86A75">
            <w:pPr>
              <w:jc w:val="both"/>
              <w:rPr>
                <w:sz w:val="22"/>
                <w:szCs w:val="22"/>
                <w:lang w:val="lv-LV"/>
              </w:rPr>
            </w:pPr>
            <w:r w:rsidRPr="00E86A75">
              <w:rPr>
                <w:sz w:val="22"/>
                <w:szCs w:val="22"/>
                <w:lang w:val="lv-LV"/>
              </w:rPr>
              <w:t xml:space="preserve">3) Pozīcija 1.4.1 UV </w:t>
            </w:r>
            <w:proofErr w:type="spellStart"/>
            <w:r w:rsidRPr="00E86A75">
              <w:rPr>
                <w:sz w:val="22"/>
                <w:szCs w:val="22"/>
                <w:lang w:val="lv-LV"/>
              </w:rPr>
              <w:t>fotoelektronu</w:t>
            </w:r>
            <w:proofErr w:type="spellEnd"/>
            <w:r w:rsidRPr="00E86A75">
              <w:rPr>
                <w:sz w:val="22"/>
                <w:szCs w:val="22"/>
                <w:lang w:val="lv-LV"/>
              </w:rPr>
              <w:t xml:space="preserve"> </w:t>
            </w:r>
            <w:proofErr w:type="spellStart"/>
            <w:r w:rsidRPr="00E86A75">
              <w:rPr>
                <w:sz w:val="22"/>
                <w:szCs w:val="22"/>
                <w:lang w:val="lv-LV"/>
              </w:rPr>
              <w:t>spektroskopijas</w:t>
            </w:r>
            <w:proofErr w:type="spellEnd"/>
            <w:r w:rsidRPr="00E86A75">
              <w:rPr>
                <w:sz w:val="22"/>
                <w:szCs w:val="22"/>
                <w:lang w:val="lv-LV"/>
              </w:rPr>
              <w:t xml:space="preserve"> modulis (XPS modulim).</w:t>
            </w:r>
          </w:p>
          <w:p w:rsidR="00E86A75" w:rsidRPr="00E86A75" w:rsidRDefault="00E86A75" w:rsidP="00E86A75">
            <w:pPr>
              <w:jc w:val="both"/>
              <w:rPr>
                <w:sz w:val="22"/>
                <w:szCs w:val="22"/>
                <w:lang w:val="lv-LV"/>
              </w:rPr>
            </w:pPr>
            <w:r w:rsidRPr="00E86A75">
              <w:rPr>
                <w:sz w:val="22"/>
                <w:szCs w:val="22"/>
                <w:lang w:val="lv-LV"/>
              </w:rPr>
              <w:t>4) Pozīcija 1.4.5 Sudraba materiāla monohromatiskais rentgenstara avots (XPS modulim).</w:t>
            </w:r>
          </w:p>
          <w:p w:rsidR="00E86A75" w:rsidRPr="00E86A75" w:rsidRDefault="00E86A75" w:rsidP="00E86A75">
            <w:pPr>
              <w:jc w:val="both"/>
              <w:rPr>
                <w:sz w:val="22"/>
                <w:szCs w:val="22"/>
                <w:lang w:val="lv-LV"/>
              </w:rPr>
            </w:pPr>
            <w:r w:rsidRPr="00E86A75">
              <w:rPr>
                <w:sz w:val="22"/>
                <w:szCs w:val="22"/>
                <w:lang w:val="lv-LV"/>
              </w:rPr>
              <w:t>5) Pozīcija 1.4.4 Jonu avots paraugu attīrīšanai (XPS modulim).</w:t>
            </w:r>
          </w:p>
          <w:p w:rsidR="00E86A75" w:rsidRPr="00E86A75" w:rsidRDefault="00E86A75" w:rsidP="00E86A75">
            <w:pPr>
              <w:jc w:val="both"/>
              <w:rPr>
                <w:sz w:val="22"/>
                <w:szCs w:val="22"/>
                <w:lang w:val="lv-LV"/>
              </w:rPr>
            </w:pPr>
            <w:r w:rsidRPr="00E86A75">
              <w:rPr>
                <w:sz w:val="22"/>
                <w:szCs w:val="22"/>
                <w:lang w:val="lv-LV"/>
              </w:rPr>
              <w:lastRenderedPageBreak/>
              <w:t xml:space="preserve">6) Pozīcija 1.4.6 Dziļuma profilēšanas modulis (sekundāro jonu </w:t>
            </w:r>
            <w:proofErr w:type="spellStart"/>
            <w:r w:rsidRPr="00E86A75">
              <w:rPr>
                <w:sz w:val="22"/>
                <w:szCs w:val="22"/>
                <w:lang w:val="lv-LV"/>
              </w:rPr>
              <w:t>masspektrometrijas</w:t>
            </w:r>
            <w:proofErr w:type="spellEnd"/>
            <w:r w:rsidRPr="00E86A75">
              <w:rPr>
                <w:sz w:val="22"/>
                <w:szCs w:val="22"/>
                <w:lang w:val="lv-LV"/>
              </w:rPr>
              <w:t xml:space="preserve"> modulim).</w:t>
            </w:r>
          </w:p>
        </w:tc>
        <w:tc>
          <w:tcPr>
            <w:tcW w:w="3420" w:type="dxa"/>
          </w:tcPr>
          <w:p w:rsidR="00E86A75" w:rsidRPr="00E86A75" w:rsidRDefault="00E86A75" w:rsidP="00E86A75">
            <w:pPr>
              <w:jc w:val="both"/>
              <w:rPr>
                <w:sz w:val="22"/>
                <w:szCs w:val="22"/>
                <w:lang w:val="lv-LV"/>
              </w:rPr>
            </w:pPr>
            <w:r w:rsidRPr="00E86A75">
              <w:rPr>
                <w:sz w:val="22"/>
                <w:szCs w:val="22"/>
                <w:lang w:val="lv-LV"/>
              </w:rPr>
              <w:lastRenderedPageBreak/>
              <w:t>9.3.</w:t>
            </w:r>
            <w:r w:rsidRPr="00E86A75">
              <w:rPr>
                <w:sz w:val="22"/>
                <w:szCs w:val="22"/>
                <w:lang w:val="lv-LV"/>
              </w:rPr>
              <w:tab/>
              <w:t xml:space="preserve">Ja Pasūtītājam nebūs pieejami finanšu līdzekļi visa iepirkuma priekšmeta iegādei, Pasūtītājam ir tiesības atteikties no jebkuras, jebkurām vai visām Tehniskās specifikācijas (nolikuma pielikums Nr.2) 1.4. punkta iepirkuma priekšmeta pozīcijām šādā secībā: </w:t>
            </w:r>
          </w:p>
          <w:p w:rsidR="00F066DA" w:rsidRPr="00F066DA" w:rsidRDefault="00F066DA" w:rsidP="00F066DA">
            <w:pPr>
              <w:jc w:val="both"/>
              <w:rPr>
                <w:sz w:val="22"/>
                <w:szCs w:val="22"/>
                <w:lang w:val="lv-LV"/>
              </w:rPr>
            </w:pPr>
            <w:r w:rsidRPr="00F066DA">
              <w:rPr>
                <w:sz w:val="22"/>
                <w:szCs w:val="22"/>
                <w:lang w:val="lv-LV"/>
              </w:rPr>
              <w:t>1) Pozīcija 1.4.3 Paraugu sildīšanas/dzesēšanas ierīce sagatavošanas kamerā (XPS modulim).</w:t>
            </w:r>
          </w:p>
          <w:p w:rsidR="00F066DA" w:rsidRDefault="00F066DA" w:rsidP="00F066DA">
            <w:pPr>
              <w:jc w:val="both"/>
              <w:rPr>
                <w:sz w:val="22"/>
                <w:szCs w:val="22"/>
                <w:lang w:val="lv-LV"/>
              </w:rPr>
            </w:pPr>
            <w:r w:rsidRPr="00F066DA">
              <w:rPr>
                <w:sz w:val="22"/>
                <w:szCs w:val="22"/>
                <w:lang w:val="lv-LV"/>
              </w:rPr>
              <w:t>2) Pozīcija 1.4.2 Paraugu turētāji ar temperatūras kontroli (XPS modulim).</w:t>
            </w:r>
          </w:p>
          <w:p w:rsidR="00E86A75" w:rsidRPr="00E86A75" w:rsidRDefault="00E86A75" w:rsidP="00F066DA">
            <w:pPr>
              <w:jc w:val="both"/>
              <w:rPr>
                <w:sz w:val="22"/>
                <w:szCs w:val="22"/>
                <w:lang w:val="lv-LV"/>
              </w:rPr>
            </w:pPr>
            <w:r w:rsidRPr="00E86A75">
              <w:rPr>
                <w:sz w:val="22"/>
                <w:szCs w:val="22"/>
                <w:lang w:val="lv-LV"/>
              </w:rPr>
              <w:t xml:space="preserve">3) Pozīcija 1.4.1 UV </w:t>
            </w:r>
            <w:proofErr w:type="spellStart"/>
            <w:r w:rsidRPr="00E86A75">
              <w:rPr>
                <w:sz w:val="22"/>
                <w:szCs w:val="22"/>
                <w:lang w:val="lv-LV"/>
              </w:rPr>
              <w:t>fotoelektronu</w:t>
            </w:r>
            <w:proofErr w:type="spellEnd"/>
            <w:r w:rsidRPr="00E86A75">
              <w:rPr>
                <w:sz w:val="22"/>
                <w:szCs w:val="22"/>
                <w:lang w:val="lv-LV"/>
              </w:rPr>
              <w:t xml:space="preserve"> </w:t>
            </w:r>
            <w:proofErr w:type="spellStart"/>
            <w:r w:rsidRPr="00E86A75">
              <w:rPr>
                <w:sz w:val="22"/>
                <w:szCs w:val="22"/>
                <w:lang w:val="lv-LV"/>
              </w:rPr>
              <w:t>spektroskopijas</w:t>
            </w:r>
            <w:proofErr w:type="spellEnd"/>
            <w:r w:rsidRPr="00E86A75">
              <w:rPr>
                <w:sz w:val="22"/>
                <w:szCs w:val="22"/>
                <w:lang w:val="lv-LV"/>
              </w:rPr>
              <w:t xml:space="preserve"> modulis (XPS modulim).</w:t>
            </w:r>
          </w:p>
          <w:p w:rsidR="00E86A75" w:rsidRPr="00E86A75" w:rsidRDefault="00E86A75" w:rsidP="00E86A75">
            <w:pPr>
              <w:jc w:val="both"/>
              <w:rPr>
                <w:sz w:val="22"/>
                <w:szCs w:val="22"/>
                <w:lang w:val="lv-LV"/>
              </w:rPr>
            </w:pPr>
            <w:r w:rsidRPr="00E86A75">
              <w:rPr>
                <w:sz w:val="22"/>
                <w:szCs w:val="22"/>
                <w:lang w:val="lv-LV"/>
              </w:rPr>
              <w:t>4) Pozīcija 1.4.5 Sudraba materiāla monohromatiskais rentgenstara avots (XPS modulim).</w:t>
            </w:r>
          </w:p>
          <w:p w:rsidR="00E86A75" w:rsidRPr="00E86A75" w:rsidRDefault="00E86A75" w:rsidP="00E86A75">
            <w:pPr>
              <w:jc w:val="both"/>
              <w:rPr>
                <w:sz w:val="22"/>
                <w:szCs w:val="22"/>
                <w:lang w:val="lv-LV"/>
              </w:rPr>
            </w:pPr>
            <w:r w:rsidRPr="00E86A75">
              <w:rPr>
                <w:sz w:val="22"/>
                <w:szCs w:val="22"/>
                <w:lang w:val="lv-LV"/>
              </w:rPr>
              <w:t>5) Pozīcija 1.4.4 Jonu avots paraugu attīrīšanai (XPS modulim).</w:t>
            </w:r>
          </w:p>
          <w:p w:rsidR="00E86A75" w:rsidRPr="00E86A75" w:rsidRDefault="00F066DA" w:rsidP="00E86A75">
            <w:pPr>
              <w:jc w:val="both"/>
              <w:rPr>
                <w:sz w:val="22"/>
                <w:szCs w:val="22"/>
                <w:lang w:val="lv-LV"/>
              </w:rPr>
            </w:pPr>
            <w:r w:rsidRPr="00E86A75">
              <w:rPr>
                <w:sz w:val="22"/>
                <w:szCs w:val="22"/>
                <w:lang w:val="lv-LV"/>
              </w:rPr>
              <w:lastRenderedPageBreak/>
              <w:t xml:space="preserve">6) Pozīcija 1.4.6 Dziļuma profilēšanas modulis (sekundāro jonu </w:t>
            </w:r>
            <w:proofErr w:type="spellStart"/>
            <w:r w:rsidRPr="00E86A75">
              <w:rPr>
                <w:sz w:val="22"/>
                <w:szCs w:val="22"/>
                <w:lang w:val="lv-LV"/>
              </w:rPr>
              <w:t>masspektrometrijas</w:t>
            </w:r>
            <w:proofErr w:type="spellEnd"/>
            <w:r w:rsidRPr="00E86A75">
              <w:rPr>
                <w:sz w:val="22"/>
                <w:szCs w:val="22"/>
                <w:lang w:val="lv-LV"/>
              </w:rPr>
              <w:t xml:space="preserve"> modulim).</w:t>
            </w:r>
          </w:p>
        </w:tc>
      </w:tr>
      <w:tr w:rsidR="00F066DA" w:rsidRPr="00EC46A1" w:rsidTr="00BE2A51">
        <w:trPr>
          <w:trHeight w:val="220"/>
        </w:trPr>
        <w:tc>
          <w:tcPr>
            <w:tcW w:w="630" w:type="dxa"/>
          </w:tcPr>
          <w:p w:rsidR="00F066DA" w:rsidRDefault="00F066DA" w:rsidP="00E86A75">
            <w:pPr>
              <w:jc w:val="both"/>
              <w:rPr>
                <w:sz w:val="22"/>
                <w:szCs w:val="22"/>
                <w:lang w:val="lv-LV"/>
              </w:rPr>
            </w:pPr>
            <w:r>
              <w:rPr>
                <w:sz w:val="22"/>
                <w:szCs w:val="22"/>
                <w:lang w:val="lv-LV"/>
              </w:rPr>
              <w:lastRenderedPageBreak/>
              <w:t>7.</w:t>
            </w:r>
          </w:p>
        </w:tc>
        <w:tc>
          <w:tcPr>
            <w:tcW w:w="1620" w:type="dxa"/>
          </w:tcPr>
          <w:p w:rsidR="00F066DA" w:rsidRDefault="00F066DA" w:rsidP="00E86A75">
            <w:pPr>
              <w:pStyle w:val="ListParagraph"/>
              <w:ind w:left="0"/>
              <w:jc w:val="both"/>
              <w:rPr>
                <w:sz w:val="22"/>
                <w:szCs w:val="22"/>
                <w:lang w:val="lv-LV"/>
              </w:rPr>
            </w:pPr>
            <w:r w:rsidRPr="004C71FC">
              <w:rPr>
                <w:sz w:val="22"/>
                <w:szCs w:val="22"/>
                <w:lang w:val="lv-LV"/>
              </w:rPr>
              <w:t>pielikuma Nr.2  1.4.3. punkt</w:t>
            </w:r>
            <w:r>
              <w:rPr>
                <w:sz w:val="22"/>
                <w:szCs w:val="22"/>
                <w:lang w:val="lv-LV"/>
              </w:rPr>
              <w:t>s</w:t>
            </w:r>
          </w:p>
        </w:tc>
        <w:tc>
          <w:tcPr>
            <w:tcW w:w="3420" w:type="dxa"/>
          </w:tcPr>
          <w:p w:rsidR="00F066DA" w:rsidRPr="00F066DA" w:rsidRDefault="00F066DA" w:rsidP="00F066DA">
            <w:pPr>
              <w:jc w:val="both"/>
              <w:rPr>
                <w:sz w:val="22"/>
                <w:szCs w:val="22"/>
                <w:lang w:val="lv-LV"/>
              </w:rPr>
            </w:pPr>
            <w:r w:rsidRPr="00F066DA">
              <w:rPr>
                <w:sz w:val="22"/>
                <w:szCs w:val="22"/>
                <w:lang w:val="lv-LV"/>
              </w:rPr>
              <w:t>Paraugu sildīšanas/dzesēšanas ierīce sagatavošanas kamerā (XPS modulim).</w:t>
            </w:r>
          </w:p>
          <w:p w:rsidR="00F066DA" w:rsidRPr="00E86A75" w:rsidRDefault="00F066DA" w:rsidP="00F066DA">
            <w:pPr>
              <w:jc w:val="both"/>
              <w:rPr>
                <w:sz w:val="22"/>
                <w:szCs w:val="22"/>
                <w:lang w:val="lv-LV"/>
              </w:rPr>
            </w:pPr>
            <w:r w:rsidRPr="00F066DA">
              <w:rPr>
                <w:sz w:val="22"/>
                <w:szCs w:val="22"/>
                <w:lang w:val="lv-LV"/>
              </w:rPr>
              <w:t xml:space="preserve">Sildīšanas/dzesēšanas ierīce ar </w:t>
            </w:r>
            <w:proofErr w:type="spellStart"/>
            <w:r w:rsidRPr="00F066DA">
              <w:rPr>
                <w:sz w:val="22"/>
                <w:szCs w:val="22"/>
                <w:lang w:val="lv-LV"/>
              </w:rPr>
              <w:t>termosensoru</w:t>
            </w:r>
            <w:proofErr w:type="spellEnd"/>
            <w:r w:rsidRPr="00F066DA">
              <w:rPr>
                <w:sz w:val="22"/>
                <w:szCs w:val="22"/>
                <w:lang w:val="lv-LV"/>
              </w:rPr>
              <w:t xml:space="preserve"> un atgriezenisko kontroli, nodrošinot paraugu dzesēšanu līdz vismaz -150 </w:t>
            </w:r>
            <w:proofErr w:type="spellStart"/>
            <w:r w:rsidRPr="00F066DA">
              <w:rPr>
                <w:sz w:val="22"/>
                <w:szCs w:val="22"/>
                <w:lang w:val="lv-LV"/>
              </w:rPr>
              <w:t>oC</w:t>
            </w:r>
            <w:proofErr w:type="spellEnd"/>
            <w:r w:rsidRPr="00F066DA">
              <w:rPr>
                <w:sz w:val="22"/>
                <w:szCs w:val="22"/>
                <w:lang w:val="lv-LV"/>
              </w:rPr>
              <w:t xml:space="preserve"> un sildīšanu līdz vismaz +725 </w:t>
            </w:r>
            <w:proofErr w:type="spellStart"/>
            <w:r w:rsidRPr="00F066DA">
              <w:rPr>
                <w:sz w:val="22"/>
                <w:szCs w:val="22"/>
                <w:lang w:val="lv-LV"/>
              </w:rPr>
              <w:t>oC</w:t>
            </w:r>
            <w:proofErr w:type="spellEnd"/>
            <w:r w:rsidRPr="00F066DA">
              <w:rPr>
                <w:sz w:val="22"/>
                <w:szCs w:val="22"/>
                <w:lang w:val="lv-LV"/>
              </w:rPr>
              <w:t xml:space="preserve"> paraugu sagatavošanas kamerā (pie nosacījumā, ka XPS modulī tiek iekļauta 2.4.4.2  komponentes).</w:t>
            </w:r>
          </w:p>
        </w:tc>
        <w:tc>
          <w:tcPr>
            <w:tcW w:w="3420" w:type="dxa"/>
          </w:tcPr>
          <w:p w:rsidR="00F066DA" w:rsidRPr="00F066DA" w:rsidRDefault="00F066DA" w:rsidP="00F066DA">
            <w:pPr>
              <w:jc w:val="both"/>
              <w:rPr>
                <w:sz w:val="22"/>
                <w:szCs w:val="22"/>
                <w:lang w:val="lv-LV"/>
              </w:rPr>
            </w:pPr>
            <w:r w:rsidRPr="00F066DA">
              <w:rPr>
                <w:sz w:val="22"/>
                <w:szCs w:val="22"/>
                <w:lang w:val="lv-LV"/>
              </w:rPr>
              <w:t>Paraugu sildīšanas/dzesēšanas ierīce sagatavošanas kamerā (XPS modulim).</w:t>
            </w:r>
          </w:p>
          <w:p w:rsidR="00F066DA" w:rsidRPr="00E86A75" w:rsidRDefault="00F066DA" w:rsidP="00F066DA">
            <w:pPr>
              <w:jc w:val="both"/>
              <w:rPr>
                <w:sz w:val="22"/>
                <w:szCs w:val="22"/>
                <w:lang w:val="lv-LV"/>
              </w:rPr>
            </w:pPr>
            <w:r w:rsidRPr="00F066DA">
              <w:rPr>
                <w:sz w:val="22"/>
                <w:szCs w:val="22"/>
                <w:lang w:val="lv-LV"/>
              </w:rPr>
              <w:t xml:space="preserve">Sildīšanas/dzesēšanas ierīce ar </w:t>
            </w:r>
            <w:proofErr w:type="spellStart"/>
            <w:r w:rsidRPr="00F066DA">
              <w:rPr>
                <w:sz w:val="22"/>
                <w:szCs w:val="22"/>
                <w:lang w:val="lv-LV"/>
              </w:rPr>
              <w:t>termosensoru</w:t>
            </w:r>
            <w:proofErr w:type="spellEnd"/>
            <w:r w:rsidRPr="00F066DA">
              <w:rPr>
                <w:sz w:val="22"/>
                <w:szCs w:val="22"/>
                <w:lang w:val="lv-LV"/>
              </w:rPr>
              <w:t xml:space="preserve"> un atgriezenisko kontroli, nodrošinot paraugu dzesēšanu līdz vismaz -150 </w:t>
            </w:r>
            <w:proofErr w:type="spellStart"/>
            <w:r w:rsidRPr="00F066DA">
              <w:rPr>
                <w:sz w:val="22"/>
                <w:szCs w:val="22"/>
                <w:lang w:val="lv-LV"/>
              </w:rPr>
              <w:t>oC</w:t>
            </w:r>
            <w:proofErr w:type="spellEnd"/>
            <w:r w:rsidRPr="00F066DA">
              <w:rPr>
                <w:sz w:val="22"/>
                <w:szCs w:val="22"/>
                <w:lang w:val="lv-LV"/>
              </w:rPr>
              <w:t xml:space="preserve"> un sildīšanu līdz vismaz +725 </w:t>
            </w:r>
            <w:proofErr w:type="spellStart"/>
            <w:r w:rsidRPr="00F066DA">
              <w:rPr>
                <w:sz w:val="22"/>
                <w:szCs w:val="22"/>
                <w:lang w:val="lv-LV"/>
              </w:rPr>
              <w:t>oC</w:t>
            </w:r>
            <w:proofErr w:type="spellEnd"/>
            <w:r w:rsidRPr="00F066DA">
              <w:rPr>
                <w:sz w:val="22"/>
                <w:szCs w:val="22"/>
                <w:lang w:val="lv-LV"/>
              </w:rPr>
              <w:t xml:space="preserve"> paraugu sagatavošanas kamerā</w:t>
            </w:r>
            <w:bookmarkStart w:id="0" w:name="_GoBack"/>
            <w:bookmarkEnd w:id="0"/>
            <w:r w:rsidRPr="00F066DA">
              <w:rPr>
                <w:sz w:val="22"/>
                <w:szCs w:val="22"/>
                <w:lang w:val="lv-LV"/>
              </w:rPr>
              <w:t>.</w:t>
            </w:r>
          </w:p>
        </w:tc>
      </w:tr>
    </w:tbl>
    <w:p w:rsidR="00BE2A51" w:rsidRPr="00EC46A1" w:rsidRDefault="00BE2A51" w:rsidP="00BE2A51">
      <w:pPr>
        <w:pStyle w:val="ListParagraph"/>
        <w:ind w:left="450"/>
        <w:jc w:val="both"/>
        <w:rPr>
          <w:sz w:val="22"/>
          <w:szCs w:val="22"/>
          <w:lang w:val="lv-LV"/>
        </w:rPr>
      </w:pPr>
    </w:p>
    <w:p w:rsidR="00BE2A51" w:rsidRPr="00EC46A1" w:rsidRDefault="00BE2A51" w:rsidP="00A93AB1">
      <w:pPr>
        <w:pStyle w:val="ListParagraph"/>
        <w:keepNext/>
        <w:keepLines/>
        <w:numPr>
          <w:ilvl w:val="2"/>
          <w:numId w:val="38"/>
        </w:numPr>
        <w:rPr>
          <w:sz w:val="22"/>
          <w:szCs w:val="22"/>
          <w:lang w:val="lv-LV"/>
        </w:rPr>
      </w:pPr>
      <w:r w:rsidRPr="00EC46A1">
        <w:rPr>
          <w:sz w:val="22"/>
          <w:szCs w:val="22"/>
          <w:lang w:val="lv-LV"/>
        </w:rPr>
        <w:t>Apstiprina konkursa ID Nr. 2018/</w:t>
      </w:r>
      <w:r>
        <w:rPr>
          <w:sz w:val="22"/>
          <w:szCs w:val="22"/>
          <w:lang w:val="lv-LV"/>
        </w:rPr>
        <w:t>34</w:t>
      </w:r>
      <w:r w:rsidRPr="00EC46A1">
        <w:rPr>
          <w:sz w:val="22"/>
          <w:szCs w:val="22"/>
          <w:lang w:val="lv-LV"/>
        </w:rPr>
        <w:t xml:space="preserve"> nolikumu ar precizējumiem (pielikumā);</w:t>
      </w:r>
    </w:p>
    <w:p w:rsidR="00BE2A51" w:rsidRPr="00EC46A1" w:rsidRDefault="00BE2A51" w:rsidP="00A93AB1">
      <w:pPr>
        <w:pStyle w:val="ListParagraph"/>
        <w:keepNext/>
        <w:keepLines/>
        <w:numPr>
          <w:ilvl w:val="2"/>
          <w:numId w:val="38"/>
        </w:numPr>
        <w:rPr>
          <w:sz w:val="22"/>
          <w:szCs w:val="22"/>
          <w:lang w:val="lv-LV"/>
        </w:rPr>
      </w:pPr>
      <w:r w:rsidRPr="00EC46A1">
        <w:rPr>
          <w:sz w:val="22"/>
          <w:szCs w:val="22"/>
          <w:lang w:val="lv-LV"/>
        </w:rPr>
        <w:t xml:space="preserve">Uzdod </w:t>
      </w:r>
      <w:proofErr w:type="spellStart"/>
      <w:r>
        <w:rPr>
          <w:sz w:val="22"/>
          <w:szCs w:val="22"/>
          <w:lang w:val="lv-LV"/>
        </w:rPr>
        <w:t>A.Celitānam</w:t>
      </w:r>
      <w:proofErr w:type="spellEnd"/>
      <w:r w:rsidRPr="00EC46A1">
        <w:rPr>
          <w:sz w:val="22"/>
          <w:szCs w:val="22"/>
          <w:lang w:val="lv-LV"/>
        </w:rPr>
        <w:t xml:space="preserve"> publicēt informāciju par veiktajiem precizējumiem Pasūtītāja tīmekļa vietnē </w:t>
      </w:r>
      <w:hyperlink r:id="rId8" w:history="1">
        <w:r w:rsidRPr="00EC46A1">
          <w:rPr>
            <w:rStyle w:val="Hyperlink"/>
            <w:sz w:val="22"/>
            <w:szCs w:val="22"/>
            <w:lang w:val="lv-LV"/>
          </w:rPr>
          <w:t>www.rtu.lv</w:t>
        </w:r>
      </w:hyperlink>
      <w:r w:rsidRPr="00EC46A1">
        <w:rPr>
          <w:sz w:val="22"/>
          <w:szCs w:val="22"/>
          <w:lang w:val="lv-LV"/>
        </w:rPr>
        <w:t>, Elektronisko iepirkumu sistēmā (</w:t>
      </w:r>
      <w:hyperlink r:id="rId9" w:history="1">
        <w:r w:rsidRPr="00EC46A1">
          <w:rPr>
            <w:rStyle w:val="Hyperlink"/>
            <w:sz w:val="22"/>
            <w:szCs w:val="22"/>
            <w:lang w:val="lv-LV"/>
          </w:rPr>
          <w:t>www.eis.gov.lv</w:t>
        </w:r>
      </w:hyperlink>
      <w:r w:rsidRPr="00EC46A1">
        <w:rPr>
          <w:sz w:val="22"/>
          <w:szCs w:val="22"/>
          <w:lang w:val="lv-LV"/>
        </w:rPr>
        <w:t>) un Iepirkumu uzraudzības biroja Publikāciju vadības sistēmā.</w:t>
      </w:r>
    </w:p>
    <w:p w:rsidR="00AB74B4" w:rsidRDefault="00AB74B4" w:rsidP="00B37546">
      <w:pPr>
        <w:shd w:val="clear" w:color="auto" w:fill="FFFFFF"/>
        <w:tabs>
          <w:tab w:val="left" w:pos="1134"/>
        </w:tabs>
        <w:jc w:val="both"/>
        <w:rPr>
          <w:color w:val="000000"/>
          <w:spacing w:val="-8"/>
          <w:sz w:val="22"/>
          <w:szCs w:val="22"/>
          <w:u w:val="single"/>
          <w:lang w:val="lv-LV"/>
        </w:rPr>
      </w:pPr>
    </w:p>
    <w:p w:rsidR="00B37546" w:rsidRPr="00CC4F93" w:rsidRDefault="00B37546" w:rsidP="00B37546">
      <w:pPr>
        <w:shd w:val="clear" w:color="auto" w:fill="FFFFFF"/>
        <w:tabs>
          <w:tab w:val="left" w:pos="1134"/>
        </w:tabs>
        <w:jc w:val="both"/>
        <w:rPr>
          <w:color w:val="000000"/>
          <w:spacing w:val="-8"/>
          <w:sz w:val="22"/>
          <w:szCs w:val="22"/>
          <w:lang w:val="lv-LV"/>
        </w:rPr>
      </w:pPr>
      <w:r w:rsidRPr="00CC4F93">
        <w:rPr>
          <w:color w:val="000000"/>
          <w:spacing w:val="-8"/>
          <w:sz w:val="22"/>
          <w:szCs w:val="22"/>
          <w:u w:val="single"/>
          <w:lang w:val="lv-LV"/>
        </w:rPr>
        <w:t>Pielikumā:</w:t>
      </w:r>
      <w:r w:rsidRPr="00CC4F93">
        <w:rPr>
          <w:color w:val="000000"/>
          <w:spacing w:val="-8"/>
          <w:sz w:val="22"/>
          <w:szCs w:val="22"/>
          <w:lang w:val="lv-LV"/>
        </w:rPr>
        <w:t xml:space="preserve"> </w:t>
      </w:r>
      <w:r w:rsidR="00D86EB5">
        <w:rPr>
          <w:color w:val="000000"/>
          <w:spacing w:val="-8"/>
          <w:sz w:val="22"/>
          <w:szCs w:val="22"/>
          <w:lang w:val="lv-LV"/>
        </w:rPr>
        <w:t>ieinteresētā piegādātāja 2</w:t>
      </w:r>
      <w:r w:rsidR="00363607">
        <w:rPr>
          <w:color w:val="000000"/>
          <w:spacing w:val="-8"/>
          <w:sz w:val="22"/>
          <w:szCs w:val="22"/>
          <w:lang w:val="lv-LV"/>
        </w:rPr>
        <w:t>5</w:t>
      </w:r>
      <w:r w:rsidR="00D86EB5">
        <w:rPr>
          <w:color w:val="000000"/>
          <w:spacing w:val="-8"/>
          <w:sz w:val="22"/>
          <w:szCs w:val="22"/>
          <w:lang w:val="lv-LV"/>
        </w:rPr>
        <w:t>.0</w:t>
      </w:r>
      <w:r w:rsidR="00363607">
        <w:rPr>
          <w:color w:val="000000"/>
          <w:spacing w:val="-8"/>
          <w:sz w:val="22"/>
          <w:szCs w:val="22"/>
          <w:lang w:val="lv-LV"/>
        </w:rPr>
        <w:t>7</w:t>
      </w:r>
      <w:r w:rsidR="00D86EB5">
        <w:rPr>
          <w:color w:val="000000"/>
          <w:spacing w:val="-8"/>
          <w:sz w:val="22"/>
          <w:szCs w:val="22"/>
          <w:lang w:val="lv-LV"/>
        </w:rPr>
        <w:t>.2018. vēstules kopija.</w:t>
      </w:r>
    </w:p>
    <w:p w:rsidR="003738BF" w:rsidRPr="00CC4F93" w:rsidRDefault="003738BF" w:rsidP="0081471B">
      <w:pPr>
        <w:jc w:val="both"/>
        <w:rPr>
          <w:sz w:val="22"/>
          <w:szCs w:val="22"/>
          <w:lang w:val="lv-LV"/>
        </w:rPr>
      </w:pPr>
    </w:p>
    <w:p w:rsidR="003738BF" w:rsidRPr="005400EE" w:rsidRDefault="003738BF" w:rsidP="003738BF">
      <w:pPr>
        <w:keepNext/>
        <w:keepLines/>
        <w:rPr>
          <w:sz w:val="22"/>
          <w:szCs w:val="22"/>
          <w:lang w:val="lv-LV"/>
        </w:rPr>
      </w:pPr>
      <w:r>
        <w:rPr>
          <w:sz w:val="22"/>
          <w:szCs w:val="22"/>
          <w:lang w:val="lv-LV"/>
        </w:rPr>
        <w:t>S</w:t>
      </w:r>
      <w:r w:rsidR="001D35A1">
        <w:rPr>
          <w:sz w:val="22"/>
          <w:szCs w:val="22"/>
          <w:lang w:val="lv-LV"/>
        </w:rPr>
        <w:t xml:space="preserve">ēdi slēdz: </w:t>
      </w:r>
      <w:proofErr w:type="spellStart"/>
      <w:r w:rsidR="001A328E">
        <w:rPr>
          <w:sz w:val="22"/>
          <w:szCs w:val="22"/>
          <w:lang w:val="lv-LV"/>
        </w:rPr>
        <w:t>A.Celitāns</w:t>
      </w:r>
      <w:proofErr w:type="spellEnd"/>
      <w:r w:rsidR="00A10426">
        <w:rPr>
          <w:sz w:val="22"/>
          <w:szCs w:val="22"/>
          <w:lang w:val="lv-LV"/>
        </w:rPr>
        <w:t>, plkst. 09</w:t>
      </w:r>
      <w:r w:rsidRPr="005400EE">
        <w:rPr>
          <w:sz w:val="22"/>
          <w:szCs w:val="22"/>
          <w:lang w:val="lv-LV"/>
        </w:rPr>
        <w:t>:</w:t>
      </w:r>
      <w:r>
        <w:rPr>
          <w:sz w:val="22"/>
          <w:szCs w:val="22"/>
          <w:lang w:val="lv-LV"/>
        </w:rPr>
        <w:t>3</w:t>
      </w:r>
      <w:r w:rsidRPr="005400EE">
        <w:rPr>
          <w:sz w:val="22"/>
          <w:szCs w:val="22"/>
          <w:lang w:val="lv-LV"/>
        </w:rPr>
        <w:t>0.</w:t>
      </w:r>
    </w:p>
    <w:tbl>
      <w:tblPr>
        <w:tblW w:w="22032" w:type="dxa"/>
        <w:tblLayout w:type="fixed"/>
        <w:tblLook w:val="01E0" w:firstRow="1" w:lastRow="1" w:firstColumn="1" w:lastColumn="1" w:noHBand="0" w:noVBand="0"/>
      </w:tblPr>
      <w:tblGrid>
        <w:gridCol w:w="4050"/>
        <w:gridCol w:w="3420"/>
        <w:gridCol w:w="4680"/>
        <w:gridCol w:w="4050"/>
        <w:gridCol w:w="2982"/>
        <w:gridCol w:w="2850"/>
      </w:tblGrid>
      <w:tr w:rsidR="003738BF" w:rsidRPr="005400EE" w:rsidTr="000C435D">
        <w:tc>
          <w:tcPr>
            <w:tcW w:w="4050" w:type="dxa"/>
          </w:tcPr>
          <w:p w:rsidR="003738BF" w:rsidRPr="005400EE" w:rsidRDefault="003738BF" w:rsidP="00DF1AC2">
            <w:pPr>
              <w:jc w:val="both"/>
              <w:rPr>
                <w:sz w:val="22"/>
                <w:szCs w:val="22"/>
                <w:lang w:val="lv-LV"/>
              </w:rPr>
            </w:pPr>
          </w:p>
        </w:tc>
        <w:tc>
          <w:tcPr>
            <w:tcW w:w="3420" w:type="dxa"/>
          </w:tcPr>
          <w:p w:rsidR="003738BF" w:rsidRPr="005400EE" w:rsidRDefault="003738BF" w:rsidP="00DF1AC2">
            <w:pPr>
              <w:jc w:val="both"/>
              <w:rPr>
                <w:sz w:val="22"/>
                <w:szCs w:val="22"/>
                <w:lang w:val="lv-LV"/>
              </w:rPr>
            </w:pPr>
          </w:p>
        </w:tc>
        <w:tc>
          <w:tcPr>
            <w:tcW w:w="4680" w:type="dxa"/>
          </w:tcPr>
          <w:p w:rsidR="003738BF" w:rsidRPr="005400EE" w:rsidRDefault="003738BF" w:rsidP="00DF1AC2">
            <w:pPr>
              <w:rPr>
                <w:sz w:val="22"/>
                <w:szCs w:val="22"/>
                <w:lang w:val="lv-LV"/>
              </w:rPr>
            </w:pPr>
          </w:p>
        </w:tc>
        <w:tc>
          <w:tcPr>
            <w:tcW w:w="4050" w:type="dxa"/>
          </w:tcPr>
          <w:p w:rsidR="003738BF" w:rsidRPr="005400EE" w:rsidRDefault="003738BF" w:rsidP="00DF1AC2">
            <w:pPr>
              <w:jc w:val="both"/>
              <w:rPr>
                <w:sz w:val="22"/>
                <w:szCs w:val="22"/>
                <w:lang w:val="lv-LV"/>
              </w:rPr>
            </w:pPr>
          </w:p>
        </w:tc>
        <w:tc>
          <w:tcPr>
            <w:tcW w:w="2982" w:type="dxa"/>
          </w:tcPr>
          <w:p w:rsidR="003738BF" w:rsidRPr="005400EE" w:rsidRDefault="003738BF" w:rsidP="00DF1AC2">
            <w:pPr>
              <w:jc w:val="both"/>
              <w:rPr>
                <w:sz w:val="22"/>
                <w:szCs w:val="22"/>
                <w:lang w:val="lv-LV"/>
              </w:rPr>
            </w:pPr>
          </w:p>
        </w:tc>
        <w:tc>
          <w:tcPr>
            <w:tcW w:w="2850" w:type="dxa"/>
          </w:tcPr>
          <w:p w:rsidR="003738BF" w:rsidRPr="005400EE" w:rsidRDefault="003738BF" w:rsidP="00DF1AC2">
            <w:pPr>
              <w:rPr>
                <w:sz w:val="22"/>
                <w:szCs w:val="22"/>
                <w:lang w:val="lv-LV"/>
              </w:rPr>
            </w:pPr>
          </w:p>
        </w:tc>
      </w:tr>
      <w:tr w:rsidR="003738BF" w:rsidRPr="005400EE" w:rsidTr="000C435D">
        <w:trPr>
          <w:gridAfter w:val="1"/>
          <w:wAfter w:w="2850" w:type="dxa"/>
        </w:trPr>
        <w:tc>
          <w:tcPr>
            <w:tcW w:w="4050" w:type="dxa"/>
          </w:tcPr>
          <w:p w:rsidR="003738BF" w:rsidRPr="005400EE" w:rsidRDefault="003738BF" w:rsidP="00DF1AC2">
            <w:pPr>
              <w:jc w:val="both"/>
              <w:rPr>
                <w:sz w:val="22"/>
                <w:szCs w:val="22"/>
                <w:lang w:val="lv-LV"/>
              </w:rPr>
            </w:pPr>
          </w:p>
          <w:p w:rsidR="003738BF" w:rsidRPr="005400EE" w:rsidRDefault="003738BF" w:rsidP="00DF1AC2">
            <w:pPr>
              <w:jc w:val="both"/>
              <w:rPr>
                <w:sz w:val="22"/>
                <w:szCs w:val="22"/>
                <w:lang w:val="lv-LV"/>
              </w:rPr>
            </w:pPr>
          </w:p>
        </w:tc>
        <w:tc>
          <w:tcPr>
            <w:tcW w:w="3420" w:type="dxa"/>
          </w:tcPr>
          <w:p w:rsidR="003738BF" w:rsidRPr="005400EE" w:rsidRDefault="003738BF" w:rsidP="00DF1AC2">
            <w:pPr>
              <w:jc w:val="both"/>
              <w:rPr>
                <w:sz w:val="22"/>
                <w:szCs w:val="22"/>
                <w:lang w:val="lv-LV"/>
              </w:rPr>
            </w:pPr>
          </w:p>
        </w:tc>
        <w:tc>
          <w:tcPr>
            <w:tcW w:w="4680" w:type="dxa"/>
          </w:tcPr>
          <w:p w:rsidR="003738BF" w:rsidRPr="005400EE" w:rsidRDefault="003738BF" w:rsidP="00DF1AC2">
            <w:pPr>
              <w:jc w:val="both"/>
              <w:rPr>
                <w:sz w:val="22"/>
                <w:szCs w:val="22"/>
                <w:lang w:val="lv-LV"/>
              </w:rPr>
            </w:pPr>
          </w:p>
        </w:tc>
        <w:tc>
          <w:tcPr>
            <w:tcW w:w="4050" w:type="dxa"/>
          </w:tcPr>
          <w:p w:rsidR="003738BF" w:rsidRPr="005400EE" w:rsidRDefault="003738BF" w:rsidP="00DF1AC2">
            <w:pPr>
              <w:jc w:val="both"/>
              <w:rPr>
                <w:sz w:val="22"/>
                <w:szCs w:val="22"/>
                <w:lang w:val="lv-LV"/>
              </w:rPr>
            </w:pPr>
          </w:p>
        </w:tc>
        <w:tc>
          <w:tcPr>
            <w:tcW w:w="2982" w:type="dxa"/>
          </w:tcPr>
          <w:p w:rsidR="003738BF" w:rsidRPr="005400EE" w:rsidRDefault="003738BF" w:rsidP="00DF1AC2">
            <w:pPr>
              <w:jc w:val="both"/>
              <w:rPr>
                <w:sz w:val="22"/>
                <w:szCs w:val="22"/>
                <w:lang w:val="lv-LV"/>
              </w:rPr>
            </w:pPr>
          </w:p>
        </w:tc>
      </w:tr>
      <w:tr w:rsidR="00D3291D" w:rsidRPr="005400EE" w:rsidTr="000C435D">
        <w:tc>
          <w:tcPr>
            <w:tcW w:w="4050" w:type="dxa"/>
          </w:tcPr>
          <w:p w:rsidR="00D3291D" w:rsidRPr="005400EE" w:rsidRDefault="00D3291D" w:rsidP="00D3291D">
            <w:pPr>
              <w:jc w:val="both"/>
              <w:rPr>
                <w:sz w:val="22"/>
                <w:szCs w:val="22"/>
                <w:lang w:val="lv-LV"/>
              </w:rPr>
            </w:pPr>
            <w:r w:rsidRPr="005400EE">
              <w:rPr>
                <w:sz w:val="22"/>
                <w:szCs w:val="22"/>
                <w:lang w:val="lv-LV"/>
              </w:rPr>
              <w:t>Komisijas priekšsēdētājs:</w:t>
            </w:r>
          </w:p>
        </w:tc>
        <w:tc>
          <w:tcPr>
            <w:tcW w:w="3420" w:type="dxa"/>
          </w:tcPr>
          <w:p w:rsidR="00D3291D" w:rsidRPr="005400EE" w:rsidRDefault="00D3291D" w:rsidP="00D3291D">
            <w:pPr>
              <w:jc w:val="both"/>
              <w:rPr>
                <w:sz w:val="22"/>
                <w:szCs w:val="22"/>
                <w:lang w:val="lv-LV"/>
              </w:rPr>
            </w:pPr>
          </w:p>
        </w:tc>
        <w:tc>
          <w:tcPr>
            <w:tcW w:w="4680" w:type="dxa"/>
          </w:tcPr>
          <w:p w:rsidR="00D3291D" w:rsidRPr="005400EE" w:rsidRDefault="00D3291D" w:rsidP="00D3291D">
            <w:pPr>
              <w:rPr>
                <w:sz w:val="22"/>
                <w:szCs w:val="22"/>
                <w:lang w:val="lv-LV"/>
              </w:rPr>
            </w:pPr>
            <w:r w:rsidRPr="005400EE">
              <w:rPr>
                <w:sz w:val="22"/>
                <w:szCs w:val="22"/>
                <w:lang w:val="lv-LV"/>
              </w:rPr>
              <w:t xml:space="preserve"> </w:t>
            </w:r>
            <w:r>
              <w:rPr>
                <w:sz w:val="22"/>
                <w:szCs w:val="22"/>
                <w:lang w:val="lv-LV"/>
              </w:rPr>
              <w:t xml:space="preserve">   </w:t>
            </w:r>
            <w:proofErr w:type="spellStart"/>
            <w:r>
              <w:rPr>
                <w:sz w:val="22"/>
                <w:szCs w:val="22"/>
                <w:lang w:val="lv-LV"/>
              </w:rPr>
              <w:t>A.Celitāns</w:t>
            </w:r>
            <w:proofErr w:type="spellEnd"/>
          </w:p>
        </w:tc>
        <w:tc>
          <w:tcPr>
            <w:tcW w:w="4050" w:type="dxa"/>
          </w:tcPr>
          <w:p w:rsidR="00D3291D" w:rsidRPr="005400EE" w:rsidRDefault="00D3291D" w:rsidP="00D3291D">
            <w:pPr>
              <w:jc w:val="right"/>
              <w:rPr>
                <w:sz w:val="22"/>
                <w:szCs w:val="22"/>
              </w:rPr>
            </w:pPr>
          </w:p>
        </w:tc>
        <w:tc>
          <w:tcPr>
            <w:tcW w:w="2982" w:type="dxa"/>
          </w:tcPr>
          <w:p w:rsidR="00D3291D" w:rsidRPr="005400EE" w:rsidRDefault="00D3291D" w:rsidP="00D3291D">
            <w:pPr>
              <w:jc w:val="both"/>
              <w:rPr>
                <w:sz w:val="22"/>
                <w:szCs w:val="22"/>
                <w:lang w:val="lv-LV"/>
              </w:rPr>
            </w:pPr>
          </w:p>
        </w:tc>
        <w:tc>
          <w:tcPr>
            <w:tcW w:w="2850" w:type="dxa"/>
          </w:tcPr>
          <w:p w:rsidR="00D3291D" w:rsidRPr="005400EE" w:rsidRDefault="00D3291D" w:rsidP="00D3291D"/>
        </w:tc>
      </w:tr>
      <w:tr w:rsidR="00D3291D" w:rsidRPr="005400EE" w:rsidTr="000C435D">
        <w:tc>
          <w:tcPr>
            <w:tcW w:w="4050" w:type="dxa"/>
          </w:tcPr>
          <w:p w:rsidR="00D3291D" w:rsidRPr="005400EE" w:rsidRDefault="00D3291D" w:rsidP="00D3291D">
            <w:pPr>
              <w:jc w:val="both"/>
              <w:rPr>
                <w:sz w:val="22"/>
                <w:szCs w:val="22"/>
                <w:lang w:val="lv-LV"/>
              </w:rPr>
            </w:pPr>
          </w:p>
          <w:p w:rsidR="00D3291D" w:rsidRPr="005400EE" w:rsidRDefault="00D3291D" w:rsidP="00D3291D">
            <w:pPr>
              <w:jc w:val="both"/>
              <w:rPr>
                <w:sz w:val="22"/>
                <w:szCs w:val="22"/>
                <w:lang w:val="lv-LV"/>
              </w:rPr>
            </w:pPr>
            <w:r w:rsidRPr="005400EE">
              <w:rPr>
                <w:sz w:val="22"/>
                <w:szCs w:val="22"/>
                <w:lang w:val="lv-LV"/>
              </w:rPr>
              <w:t>Komisijas locekļi:</w:t>
            </w:r>
          </w:p>
        </w:tc>
        <w:tc>
          <w:tcPr>
            <w:tcW w:w="3420" w:type="dxa"/>
          </w:tcPr>
          <w:p w:rsidR="00D3291D" w:rsidRPr="005400EE" w:rsidRDefault="00D3291D" w:rsidP="00D3291D">
            <w:pPr>
              <w:jc w:val="both"/>
              <w:rPr>
                <w:sz w:val="22"/>
                <w:szCs w:val="22"/>
                <w:lang w:val="lv-LV"/>
              </w:rPr>
            </w:pPr>
          </w:p>
        </w:tc>
        <w:tc>
          <w:tcPr>
            <w:tcW w:w="4680" w:type="dxa"/>
          </w:tcPr>
          <w:p w:rsidR="00D3291D" w:rsidRPr="005400EE" w:rsidRDefault="00D3291D" w:rsidP="00D3291D">
            <w:pPr>
              <w:jc w:val="both"/>
              <w:rPr>
                <w:sz w:val="22"/>
                <w:szCs w:val="22"/>
                <w:lang w:val="lv-LV"/>
              </w:rPr>
            </w:pPr>
          </w:p>
        </w:tc>
        <w:tc>
          <w:tcPr>
            <w:tcW w:w="4050" w:type="dxa"/>
          </w:tcPr>
          <w:p w:rsidR="00D3291D" w:rsidRPr="005400EE" w:rsidRDefault="00D3291D" w:rsidP="00D3291D">
            <w:pPr>
              <w:jc w:val="right"/>
              <w:rPr>
                <w:sz w:val="22"/>
                <w:szCs w:val="22"/>
              </w:rPr>
            </w:pPr>
          </w:p>
        </w:tc>
        <w:tc>
          <w:tcPr>
            <w:tcW w:w="2982" w:type="dxa"/>
          </w:tcPr>
          <w:p w:rsidR="00D3291D" w:rsidRPr="005400EE" w:rsidRDefault="00D3291D" w:rsidP="00D3291D">
            <w:pPr>
              <w:jc w:val="both"/>
              <w:rPr>
                <w:sz w:val="22"/>
                <w:szCs w:val="22"/>
                <w:lang w:val="lv-LV"/>
              </w:rPr>
            </w:pPr>
          </w:p>
        </w:tc>
        <w:tc>
          <w:tcPr>
            <w:tcW w:w="2850" w:type="dxa"/>
          </w:tcPr>
          <w:p w:rsidR="00D3291D" w:rsidRPr="005400EE" w:rsidRDefault="00D3291D" w:rsidP="00D3291D"/>
        </w:tc>
      </w:tr>
      <w:tr w:rsidR="00D3291D" w:rsidRPr="005400EE" w:rsidTr="000C435D">
        <w:tc>
          <w:tcPr>
            <w:tcW w:w="4050" w:type="dxa"/>
          </w:tcPr>
          <w:p w:rsidR="00D3291D" w:rsidRPr="005400EE" w:rsidRDefault="00D3291D" w:rsidP="00D3291D">
            <w:pPr>
              <w:jc w:val="right"/>
              <w:rPr>
                <w:sz w:val="22"/>
                <w:szCs w:val="22"/>
              </w:rPr>
            </w:pPr>
          </w:p>
        </w:tc>
        <w:tc>
          <w:tcPr>
            <w:tcW w:w="3420" w:type="dxa"/>
          </w:tcPr>
          <w:p w:rsidR="00D3291D" w:rsidRPr="005400EE" w:rsidRDefault="00D3291D" w:rsidP="00D3291D">
            <w:pPr>
              <w:jc w:val="both"/>
              <w:rPr>
                <w:sz w:val="22"/>
                <w:szCs w:val="22"/>
                <w:lang w:val="lv-LV"/>
              </w:rPr>
            </w:pPr>
          </w:p>
        </w:tc>
        <w:tc>
          <w:tcPr>
            <w:tcW w:w="4680" w:type="dxa"/>
          </w:tcPr>
          <w:tbl>
            <w:tblPr>
              <w:tblW w:w="9406" w:type="dxa"/>
              <w:tblLayout w:type="fixed"/>
              <w:tblLook w:val="04A0" w:firstRow="1" w:lastRow="0" w:firstColumn="1" w:lastColumn="0" w:noHBand="0" w:noVBand="1"/>
            </w:tblPr>
            <w:tblGrid>
              <w:gridCol w:w="9406"/>
            </w:tblGrid>
            <w:tr w:rsidR="00D3291D" w:rsidRPr="005400EE" w:rsidTr="00600310">
              <w:trPr>
                <w:trHeight w:val="857"/>
              </w:trPr>
              <w:tc>
                <w:tcPr>
                  <w:tcW w:w="9406" w:type="dxa"/>
                </w:tcPr>
                <w:tbl>
                  <w:tblPr>
                    <w:tblW w:w="9406" w:type="dxa"/>
                    <w:tblLayout w:type="fixed"/>
                    <w:tblLook w:val="04A0" w:firstRow="1" w:lastRow="0" w:firstColumn="1" w:lastColumn="0" w:noHBand="0" w:noVBand="1"/>
                  </w:tblPr>
                  <w:tblGrid>
                    <w:gridCol w:w="9406"/>
                  </w:tblGrid>
                  <w:tr w:rsidR="00D3291D" w:rsidRPr="00323057" w:rsidTr="00600310">
                    <w:trPr>
                      <w:trHeight w:val="169"/>
                    </w:trPr>
                    <w:tc>
                      <w:tcPr>
                        <w:tcW w:w="9406" w:type="dxa"/>
                      </w:tcPr>
                      <w:p w:rsidR="00D3291D" w:rsidRPr="00683798" w:rsidRDefault="00D3291D" w:rsidP="00D3291D">
                        <w:pPr>
                          <w:keepNext/>
                          <w:keepLines/>
                        </w:pPr>
                        <w:proofErr w:type="spellStart"/>
                        <w:r>
                          <w:rPr>
                            <w:sz w:val="22"/>
                            <w:szCs w:val="22"/>
                            <w:lang w:val="lv-LV"/>
                          </w:rPr>
                          <w:t>Z.Circāne</w:t>
                        </w:r>
                        <w:proofErr w:type="spellEnd"/>
                      </w:p>
                    </w:tc>
                  </w:tr>
                  <w:tr w:rsidR="00D3291D" w:rsidRPr="00323057" w:rsidTr="00600310">
                    <w:trPr>
                      <w:trHeight w:val="179"/>
                    </w:trPr>
                    <w:tc>
                      <w:tcPr>
                        <w:tcW w:w="9406" w:type="dxa"/>
                      </w:tcPr>
                      <w:p w:rsidR="00D3291D" w:rsidRPr="00683798" w:rsidRDefault="00D3291D" w:rsidP="00D3291D">
                        <w:pPr>
                          <w:keepNext/>
                          <w:keepLines/>
                        </w:pPr>
                      </w:p>
                    </w:tc>
                  </w:tr>
                  <w:tr w:rsidR="00D3291D" w:rsidRPr="00323057" w:rsidTr="00600310">
                    <w:trPr>
                      <w:trHeight w:val="454"/>
                    </w:trPr>
                    <w:tc>
                      <w:tcPr>
                        <w:tcW w:w="9406" w:type="dxa"/>
                      </w:tcPr>
                      <w:p w:rsidR="00D3291D" w:rsidRDefault="00D3291D" w:rsidP="00D3291D">
                        <w:pPr>
                          <w:rPr>
                            <w:sz w:val="22"/>
                            <w:szCs w:val="22"/>
                          </w:rPr>
                        </w:pPr>
                        <w:proofErr w:type="spellStart"/>
                        <w:r>
                          <w:rPr>
                            <w:sz w:val="22"/>
                            <w:szCs w:val="22"/>
                          </w:rPr>
                          <w:t>I.Kozaks</w:t>
                        </w:r>
                        <w:proofErr w:type="spellEnd"/>
                      </w:p>
                      <w:p w:rsidR="00D3291D" w:rsidRDefault="00D3291D" w:rsidP="00D3291D">
                        <w:pPr>
                          <w:rPr>
                            <w:sz w:val="22"/>
                            <w:szCs w:val="22"/>
                          </w:rPr>
                        </w:pPr>
                      </w:p>
                      <w:p w:rsidR="00D3291D" w:rsidRDefault="00D3291D" w:rsidP="00D3291D">
                        <w:pPr>
                          <w:rPr>
                            <w:sz w:val="22"/>
                            <w:szCs w:val="22"/>
                          </w:rPr>
                        </w:pPr>
                        <w:proofErr w:type="spellStart"/>
                        <w:r>
                          <w:rPr>
                            <w:sz w:val="22"/>
                            <w:szCs w:val="22"/>
                          </w:rPr>
                          <w:t>D.Ūbele</w:t>
                        </w:r>
                        <w:proofErr w:type="spellEnd"/>
                      </w:p>
                      <w:p w:rsidR="00D3291D" w:rsidRDefault="00D3291D" w:rsidP="00D3291D">
                        <w:pPr>
                          <w:rPr>
                            <w:sz w:val="22"/>
                            <w:szCs w:val="22"/>
                          </w:rPr>
                        </w:pPr>
                      </w:p>
                      <w:p w:rsidR="00D3291D" w:rsidRDefault="00D3291D" w:rsidP="00D3291D">
                        <w:pPr>
                          <w:rPr>
                            <w:sz w:val="22"/>
                            <w:szCs w:val="22"/>
                          </w:rPr>
                        </w:pPr>
                        <w:proofErr w:type="spellStart"/>
                        <w:r>
                          <w:rPr>
                            <w:sz w:val="22"/>
                            <w:szCs w:val="22"/>
                          </w:rPr>
                          <w:t>J.Korhs</w:t>
                        </w:r>
                        <w:proofErr w:type="spellEnd"/>
                      </w:p>
                      <w:p w:rsidR="00D3291D" w:rsidRDefault="00D3291D" w:rsidP="00D3291D">
                        <w:pPr>
                          <w:rPr>
                            <w:sz w:val="22"/>
                            <w:szCs w:val="22"/>
                          </w:rPr>
                        </w:pPr>
                      </w:p>
                      <w:p w:rsidR="00D3291D" w:rsidRPr="00323057" w:rsidRDefault="00D3291D" w:rsidP="00D3291D">
                        <w:pPr>
                          <w:rPr>
                            <w:sz w:val="22"/>
                            <w:szCs w:val="22"/>
                          </w:rPr>
                        </w:pPr>
                      </w:p>
                    </w:tc>
                  </w:tr>
                </w:tbl>
                <w:p w:rsidR="00D3291D" w:rsidRDefault="00D3291D" w:rsidP="00D3291D"/>
              </w:tc>
            </w:tr>
            <w:tr w:rsidR="00D3291D" w:rsidRPr="005400EE" w:rsidTr="00600310">
              <w:trPr>
                <w:trHeight w:val="179"/>
              </w:trPr>
              <w:tc>
                <w:tcPr>
                  <w:tcW w:w="9406" w:type="dxa"/>
                </w:tcPr>
                <w:p w:rsidR="00D3291D" w:rsidRDefault="00D3291D" w:rsidP="00D3291D"/>
              </w:tc>
            </w:tr>
            <w:tr w:rsidR="00D3291D" w:rsidRPr="005400EE" w:rsidTr="00600310">
              <w:trPr>
                <w:trHeight w:val="189"/>
              </w:trPr>
              <w:tc>
                <w:tcPr>
                  <w:tcW w:w="9406" w:type="dxa"/>
                </w:tcPr>
                <w:p w:rsidR="00D3291D" w:rsidRDefault="00D3291D" w:rsidP="00D3291D"/>
              </w:tc>
            </w:tr>
            <w:tr w:rsidR="00D3291D" w:rsidRPr="005400EE" w:rsidTr="00600310">
              <w:trPr>
                <w:trHeight w:val="179"/>
              </w:trPr>
              <w:tc>
                <w:tcPr>
                  <w:tcW w:w="9406" w:type="dxa"/>
                </w:tcPr>
                <w:p w:rsidR="00D3291D" w:rsidRDefault="00D3291D" w:rsidP="00D3291D"/>
              </w:tc>
            </w:tr>
          </w:tbl>
          <w:p w:rsidR="00D3291D" w:rsidRPr="005400EE" w:rsidRDefault="00D3291D" w:rsidP="00D3291D"/>
        </w:tc>
        <w:tc>
          <w:tcPr>
            <w:tcW w:w="4050" w:type="dxa"/>
          </w:tcPr>
          <w:p w:rsidR="00D3291D" w:rsidRPr="005400EE" w:rsidRDefault="00D3291D" w:rsidP="00D3291D">
            <w:pPr>
              <w:jc w:val="right"/>
              <w:rPr>
                <w:sz w:val="22"/>
                <w:szCs w:val="22"/>
              </w:rPr>
            </w:pPr>
          </w:p>
        </w:tc>
        <w:tc>
          <w:tcPr>
            <w:tcW w:w="2982" w:type="dxa"/>
          </w:tcPr>
          <w:p w:rsidR="00D3291D" w:rsidRPr="005400EE" w:rsidRDefault="00D3291D" w:rsidP="00D3291D">
            <w:pPr>
              <w:jc w:val="both"/>
              <w:rPr>
                <w:sz w:val="22"/>
                <w:szCs w:val="22"/>
                <w:lang w:val="lv-LV"/>
              </w:rPr>
            </w:pPr>
          </w:p>
        </w:tc>
        <w:tc>
          <w:tcPr>
            <w:tcW w:w="2850" w:type="dxa"/>
          </w:tcPr>
          <w:p w:rsidR="00D3291D" w:rsidRPr="005400EE" w:rsidRDefault="00D3291D" w:rsidP="00D3291D"/>
        </w:tc>
      </w:tr>
    </w:tbl>
    <w:p w:rsidR="00E05605" w:rsidRDefault="00E05605" w:rsidP="0097412F">
      <w:pPr>
        <w:ind w:left="7200"/>
      </w:pPr>
    </w:p>
    <w:p w:rsidR="00E05605" w:rsidRDefault="00E05605" w:rsidP="00CC4F93"/>
    <w:sectPr w:rsidR="00E05605" w:rsidSect="00D7678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CE" w:rsidRDefault="003649CE" w:rsidP="003649CE">
      <w:r>
        <w:separator/>
      </w:r>
    </w:p>
  </w:endnote>
  <w:endnote w:type="continuationSeparator" w:id="0">
    <w:p w:rsidR="003649CE" w:rsidRDefault="003649CE"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rsidR="003649CE" w:rsidRDefault="003649CE">
        <w:pPr>
          <w:pStyle w:val="Footer"/>
          <w:jc w:val="right"/>
        </w:pPr>
        <w:r>
          <w:fldChar w:fldCharType="begin"/>
        </w:r>
        <w:r>
          <w:instrText xml:space="preserve"> PAGE   \* MERGEFORMAT </w:instrText>
        </w:r>
        <w:r>
          <w:fldChar w:fldCharType="separate"/>
        </w:r>
        <w:r w:rsidR="00F066DA">
          <w:rPr>
            <w:noProof/>
          </w:rPr>
          <w:t>4</w:t>
        </w:r>
        <w:r>
          <w:rPr>
            <w:noProof/>
          </w:rPr>
          <w:fldChar w:fldCharType="end"/>
        </w:r>
      </w:p>
    </w:sdtContent>
  </w:sdt>
  <w:p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CE" w:rsidRDefault="003649CE" w:rsidP="003649CE">
      <w:r>
        <w:separator/>
      </w:r>
    </w:p>
  </w:footnote>
  <w:footnote w:type="continuationSeparator" w:id="0">
    <w:p w:rsidR="003649CE" w:rsidRDefault="003649CE"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38C1F47"/>
    <w:multiLevelType w:val="multilevel"/>
    <w:tmpl w:val="295647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2251A51"/>
    <w:multiLevelType w:val="multilevel"/>
    <w:tmpl w:val="82846C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20"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6"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8"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3"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4"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6F2B0F92"/>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9" w15:restartNumberingAfterBreak="0">
    <w:nsid w:val="7D5339C1"/>
    <w:multiLevelType w:val="multilevel"/>
    <w:tmpl w:val="B4ACB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18"/>
  </w:num>
  <w:num w:numId="3">
    <w:abstractNumId w:val="16"/>
  </w:num>
  <w:num w:numId="4">
    <w:abstractNumId w:val="35"/>
  </w:num>
  <w:num w:numId="5">
    <w:abstractNumId w:val="30"/>
  </w:num>
  <w:num w:numId="6">
    <w:abstractNumId w:val="24"/>
  </w:num>
  <w:num w:numId="7">
    <w:abstractNumId w:val="17"/>
  </w:num>
  <w:num w:numId="8">
    <w:abstractNumId w:val="12"/>
  </w:num>
  <w:num w:numId="9">
    <w:abstractNumId w:val="34"/>
  </w:num>
  <w:num w:numId="10">
    <w:abstractNumId w:val="9"/>
  </w:num>
  <w:num w:numId="11">
    <w:abstractNumId w:val="29"/>
  </w:num>
  <w:num w:numId="12">
    <w:abstractNumId w:val="10"/>
  </w:num>
  <w:num w:numId="13">
    <w:abstractNumId w:val="28"/>
  </w:num>
  <w:num w:numId="14">
    <w:abstractNumId w:val="36"/>
  </w:num>
  <w:num w:numId="15">
    <w:abstractNumId w:val="21"/>
  </w:num>
  <w:num w:numId="16">
    <w:abstractNumId w:val="31"/>
  </w:num>
  <w:num w:numId="17">
    <w:abstractNumId w:val="5"/>
  </w:num>
  <w:num w:numId="18">
    <w:abstractNumId w:val="32"/>
  </w:num>
  <w:num w:numId="19">
    <w:abstractNumId w:val="19"/>
  </w:num>
  <w:num w:numId="20">
    <w:abstractNumId w:val="2"/>
  </w:num>
  <w:num w:numId="21">
    <w:abstractNumId w:val="33"/>
  </w:num>
  <w:num w:numId="22">
    <w:abstractNumId w:val="23"/>
  </w:num>
  <w:num w:numId="23">
    <w:abstractNumId w:val="4"/>
  </w:num>
  <w:num w:numId="24">
    <w:abstractNumId w:val="26"/>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8"/>
  </w:num>
  <w:num w:numId="28">
    <w:abstractNumId w:val="25"/>
  </w:num>
  <w:num w:numId="29">
    <w:abstractNumId w:val="15"/>
  </w:num>
  <w:num w:numId="30">
    <w:abstractNumId w:val="7"/>
  </w:num>
  <w:num w:numId="31">
    <w:abstractNumId w:val="22"/>
  </w:num>
  <w:num w:numId="32">
    <w:abstractNumId w:val="20"/>
  </w:num>
  <w:num w:numId="33">
    <w:abstractNumId w:val="0"/>
  </w:num>
  <w:num w:numId="34">
    <w:abstractNumId w:val="11"/>
  </w:num>
  <w:num w:numId="35">
    <w:abstractNumId w:val="6"/>
  </w:num>
  <w:num w:numId="36">
    <w:abstractNumId w:val="14"/>
  </w:num>
  <w:num w:numId="37">
    <w:abstractNumId w:val="1"/>
  </w:num>
  <w:num w:numId="38">
    <w:abstractNumId w:val="3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5200F"/>
    <w:rsid w:val="0005332D"/>
    <w:rsid w:val="00061C7C"/>
    <w:rsid w:val="00062999"/>
    <w:rsid w:val="00065B9F"/>
    <w:rsid w:val="00067F11"/>
    <w:rsid w:val="000760E7"/>
    <w:rsid w:val="000B2F80"/>
    <w:rsid w:val="000C435D"/>
    <w:rsid w:val="000D050E"/>
    <w:rsid w:val="000E1220"/>
    <w:rsid w:val="000E4406"/>
    <w:rsid w:val="000F2A12"/>
    <w:rsid w:val="00106ECE"/>
    <w:rsid w:val="00122E3E"/>
    <w:rsid w:val="00122FF6"/>
    <w:rsid w:val="001245B2"/>
    <w:rsid w:val="00155D47"/>
    <w:rsid w:val="00174189"/>
    <w:rsid w:val="00174996"/>
    <w:rsid w:val="00177462"/>
    <w:rsid w:val="001A1D5A"/>
    <w:rsid w:val="001A328E"/>
    <w:rsid w:val="001A5292"/>
    <w:rsid w:val="001A6D3B"/>
    <w:rsid w:val="001B239C"/>
    <w:rsid w:val="001B38CA"/>
    <w:rsid w:val="001C3DA7"/>
    <w:rsid w:val="001D126B"/>
    <w:rsid w:val="001D35A1"/>
    <w:rsid w:val="001E17FE"/>
    <w:rsid w:val="001F248F"/>
    <w:rsid w:val="001F598E"/>
    <w:rsid w:val="0020351A"/>
    <w:rsid w:val="002108D5"/>
    <w:rsid w:val="00210986"/>
    <w:rsid w:val="00212B2A"/>
    <w:rsid w:val="00213EED"/>
    <w:rsid w:val="00250FC0"/>
    <w:rsid w:val="00251B8E"/>
    <w:rsid w:val="00253F5B"/>
    <w:rsid w:val="002630FA"/>
    <w:rsid w:val="0027436F"/>
    <w:rsid w:val="002877D9"/>
    <w:rsid w:val="002B11F7"/>
    <w:rsid w:val="002B3B01"/>
    <w:rsid w:val="002C4F75"/>
    <w:rsid w:val="002C5B14"/>
    <w:rsid w:val="002C6A39"/>
    <w:rsid w:val="002D03FD"/>
    <w:rsid w:val="002D0BBB"/>
    <w:rsid w:val="002E327A"/>
    <w:rsid w:val="002F3409"/>
    <w:rsid w:val="002F703C"/>
    <w:rsid w:val="003110DF"/>
    <w:rsid w:val="003212AD"/>
    <w:rsid w:val="003325F6"/>
    <w:rsid w:val="0033780C"/>
    <w:rsid w:val="00363607"/>
    <w:rsid w:val="003649CE"/>
    <w:rsid w:val="00364C2A"/>
    <w:rsid w:val="003738BF"/>
    <w:rsid w:val="003866E7"/>
    <w:rsid w:val="00391E95"/>
    <w:rsid w:val="003A183F"/>
    <w:rsid w:val="003A4222"/>
    <w:rsid w:val="003A5CA5"/>
    <w:rsid w:val="003B0FA1"/>
    <w:rsid w:val="003D370B"/>
    <w:rsid w:val="003D6438"/>
    <w:rsid w:val="003F0A06"/>
    <w:rsid w:val="003F53B6"/>
    <w:rsid w:val="00405077"/>
    <w:rsid w:val="0042794F"/>
    <w:rsid w:val="004458F2"/>
    <w:rsid w:val="00461749"/>
    <w:rsid w:val="00465BF0"/>
    <w:rsid w:val="00465F16"/>
    <w:rsid w:val="00476096"/>
    <w:rsid w:val="004849CB"/>
    <w:rsid w:val="004A68E3"/>
    <w:rsid w:val="004A7A08"/>
    <w:rsid w:val="004C2124"/>
    <w:rsid w:val="004C71FC"/>
    <w:rsid w:val="004D0B66"/>
    <w:rsid w:val="004F4453"/>
    <w:rsid w:val="004F64A0"/>
    <w:rsid w:val="005214A3"/>
    <w:rsid w:val="005235A1"/>
    <w:rsid w:val="00530319"/>
    <w:rsid w:val="00536CDB"/>
    <w:rsid w:val="00547BEB"/>
    <w:rsid w:val="0056441C"/>
    <w:rsid w:val="00572598"/>
    <w:rsid w:val="005738E8"/>
    <w:rsid w:val="0057600F"/>
    <w:rsid w:val="0059763A"/>
    <w:rsid w:val="00597701"/>
    <w:rsid w:val="005A0823"/>
    <w:rsid w:val="005A1EC4"/>
    <w:rsid w:val="005B3EF3"/>
    <w:rsid w:val="005B5FB7"/>
    <w:rsid w:val="005E7FED"/>
    <w:rsid w:val="005F3DB0"/>
    <w:rsid w:val="005F61C8"/>
    <w:rsid w:val="00605BD7"/>
    <w:rsid w:val="00606335"/>
    <w:rsid w:val="00607713"/>
    <w:rsid w:val="00622926"/>
    <w:rsid w:val="00644A7E"/>
    <w:rsid w:val="00644F3B"/>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22717"/>
    <w:rsid w:val="00726E11"/>
    <w:rsid w:val="00751BF4"/>
    <w:rsid w:val="00756DFC"/>
    <w:rsid w:val="00757B2D"/>
    <w:rsid w:val="00770629"/>
    <w:rsid w:val="0078606F"/>
    <w:rsid w:val="007A470A"/>
    <w:rsid w:val="007F1DB4"/>
    <w:rsid w:val="007F568E"/>
    <w:rsid w:val="00800C15"/>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D58CC"/>
    <w:rsid w:val="008F3429"/>
    <w:rsid w:val="008F3D4F"/>
    <w:rsid w:val="0090030F"/>
    <w:rsid w:val="00912F88"/>
    <w:rsid w:val="0092758A"/>
    <w:rsid w:val="00927DFB"/>
    <w:rsid w:val="00931105"/>
    <w:rsid w:val="009437DC"/>
    <w:rsid w:val="009522C6"/>
    <w:rsid w:val="009738A3"/>
    <w:rsid w:val="0097412F"/>
    <w:rsid w:val="009B3890"/>
    <w:rsid w:val="009B4AE9"/>
    <w:rsid w:val="009C76FC"/>
    <w:rsid w:val="009F45AB"/>
    <w:rsid w:val="00A10426"/>
    <w:rsid w:val="00A15755"/>
    <w:rsid w:val="00A172F7"/>
    <w:rsid w:val="00A34948"/>
    <w:rsid w:val="00A64CA1"/>
    <w:rsid w:val="00A675A5"/>
    <w:rsid w:val="00A75AF3"/>
    <w:rsid w:val="00A93AB1"/>
    <w:rsid w:val="00AB74B4"/>
    <w:rsid w:val="00AC2DE5"/>
    <w:rsid w:val="00AD069A"/>
    <w:rsid w:val="00AD1447"/>
    <w:rsid w:val="00AD5070"/>
    <w:rsid w:val="00AE791C"/>
    <w:rsid w:val="00B23CB5"/>
    <w:rsid w:val="00B31BD1"/>
    <w:rsid w:val="00B37546"/>
    <w:rsid w:val="00B523F9"/>
    <w:rsid w:val="00B65158"/>
    <w:rsid w:val="00B65501"/>
    <w:rsid w:val="00B76EAA"/>
    <w:rsid w:val="00BB18B2"/>
    <w:rsid w:val="00BD59E0"/>
    <w:rsid w:val="00BE2A51"/>
    <w:rsid w:val="00BE3919"/>
    <w:rsid w:val="00BF16EE"/>
    <w:rsid w:val="00BF1ADD"/>
    <w:rsid w:val="00BF45BC"/>
    <w:rsid w:val="00C07C2E"/>
    <w:rsid w:val="00C25FBC"/>
    <w:rsid w:val="00C25FCB"/>
    <w:rsid w:val="00C355FA"/>
    <w:rsid w:val="00C37952"/>
    <w:rsid w:val="00C42C0F"/>
    <w:rsid w:val="00C4350D"/>
    <w:rsid w:val="00C54D1D"/>
    <w:rsid w:val="00C559E9"/>
    <w:rsid w:val="00C6365E"/>
    <w:rsid w:val="00C64721"/>
    <w:rsid w:val="00C81D82"/>
    <w:rsid w:val="00C83E28"/>
    <w:rsid w:val="00C85181"/>
    <w:rsid w:val="00C86C72"/>
    <w:rsid w:val="00C905CF"/>
    <w:rsid w:val="00CA028D"/>
    <w:rsid w:val="00CA1967"/>
    <w:rsid w:val="00CC0CC8"/>
    <w:rsid w:val="00CC4F93"/>
    <w:rsid w:val="00CC5BF8"/>
    <w:rsid w:val="00CE11A0"/>
    <w:rsid w:val="00CE2B36"/>
    <w:rsid w:val="00CE44CC"/>
    <w:rsid w:val="00D122C5"/>
    <w:rsid w:val="00D3291D"/>
    <w:rsid w:val="00D47640"/>
    <w:rsid w:val="00D7008B"/>
    <w:rsid w:val="00D76781"/>
    <w:rsid w:val="00D86EB5"/>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6A75"/>
    <w:rsid w:val="00E87992"/>
    <w:rsid w:val="00E94C10"/>
    <w:rsid w:val="00E96B0A"/>
    <w:rsid w:val="00EA1026"/>
    <w:rsid w:val="00EC378E"/>
    <w:rsid w:val="00EC6282"/>
    <w:rsid w:val="00EE7F7F"/>
    <w:rsid w:val="00EF39C5"/>
    <w:rsid w:val="00F03FB5"/>
    <w:rsid w:val="00F066DA"/>
    <w:rsid w:val="00F2289C"/>
    <w:rsid w:val="00F23F46"/>
    <w:rsid w:val="00F270FA"/>
    <w:rsid w:val="00F3164B"/>
    <w:rsid w:val="00F331DC"/>
    <w:rsid w:val="00F3536F"/>
    <w:rsid w:val="00F46CE1"/>
    <w:rsid w:val="00F47B69"/>
    <w:rsid w:val="00F47F1A"/>
    <w:rsid w:val="00F73A6A"/>
    <w:rsid w:val="00F87142"/>
    <w:rsid w:val="00F90097"/>
    <w:rsid w:val="00F9429C"/>
    <w:rsid w:val="00F95361"/>
    <w:rsid w:val="00F958A4"/>
    <w:rsid w:val="00FB015F"/>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7C08"/>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uiPriority w:val="34"/>
    <w:qFormat/>
    <w:rsid w:val="00251B8E"/>
    <w:pPr>
      <w:ind w:left="720"/>
      <w:contextualSpacing/>
    </w:pPr>
  </w:style>
  <w:style w:type="character" w:customStyle="1" w:styleId="ListParagraphChar">
    <w:name w:val="List Paragraph Char"/>
    <w:aliases w:val="Virsraksti Char,Normal bullet 2 Char,Bullet list Char"/>
    <w:link w:val="ListParagraph"/>
    <w:uiPriority w:val="34"/>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semiHidden/>
    <w:unhideWhenUsed/>
    <w:rsid w:val="003636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360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B6DC-6A05-43B7-964B-B7D3AA3B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6729</Words>
  <Characters>3836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Artis Celitāns</cp:lastModifiedBy>
  <cp:revision>9</cp:revision>
  <cp:lastPrinted>2017-04-06T12:14:00Z</cp:lastPrinted>
  <dcterms:created xsi:type="dcterms:W3CDTF">2018-04-19T11:06:00Z</dcterms:created>
  <dcterms:modified xsi:type="dcterms:W3CDTF">2018-07-31T12:37:00Z</dcterms:modified>
</cp:coreProperties>
</file>