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shd w:val="clear" w:color="auto" w:fill="auto"/>
          </w:tcPr>
          <w:p w:rsidR="00D949F3" w:rsidRDefault="00D949F3" w:rsidP="00D949F3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</w:t>
            </w:r>
            <w:r w:rsidRPr="004918EF">
              <w:rPr>
                <w:sz w:val="22"/>
                <w:szCs w:val="22"/>
                <w:lang w:val="lv-LV"/>
              </w:rPr>
              <w:t xml:space="preserve"> </w:t>
            </w:r>
          </w:p>
          <w:p w:rsidR="00D949F3" w:rsidRDefault="00D949F3" w:rsidP="00D949F3">
            <w:pPr>
              <w:ind w:right="-1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4006D">
              <w:rPr>
                <w:b/>
                <w:bCs/>
                <w:sz w:val="22"/>
                <w:szCs w:val="22"/>
                <w:lang w:val="lv-LV"/>
              </w:rPr>
              <w:t xml:space="preserve"> “</w:t>
            </w:r>
            <w:r w:rsidR="007F6033" w:rsidRPr="007F6033">
              <w:rPr>
                <w:rFonts w:eastAsia="Calibri"/>
                <w:b/>
                <w:kern w:val="56"/>
                <w:sz w:val="22"/>
                <w:szCs w:val="22"/>
                <w:lang w:val="lv-LV" w:eastAsia="lv-LV"/>
              </w:rPr>
              <w:t>DARBA APĢĒRBU/UNIFORMU KOMFORTA TESTĒŠANAS PAKALPOJUMI</w:t>
            </w:r>
            <w:r w:rsidRPr="00F4006D">
              <w:rPr>
                <w:b/>
                <w:bCs/>
                <w:sz w:val="22"/>
                <w:szCs w:val="22"/>
                <w:lang w:val="lv-LV"/>
              </w:rPr>
              <w:t>”</w:t>
            </w:r>
          </w:p>
          <w:p w:rsidR="00D949F3" w:rsidRPr="004918EF" w:rsidRDefault="00D949F3" w:rsidP="00D949F3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4918EF">
              <w:rPr>
                <w:sz w:val="22"/>
                <w:szCs w:val="22"/>
                <w:lang w:val="lv-LV"/>
              </w:rPr>
              <w:t xml:space="preserve"> (i</w:t>
            </w:r>
            <w:r w:rsidR="007F6033">
              <w:rPr>
                <w:sz w:val="22"/>
                <w:szCs w:val="22"/>
                <w:lang w:val="lv-LV"/>
              </w:rPr>
              <w:t>dentifikācijas Nr. RTU – 2017/121</w:t>
            </w:r>
            <w:r w:rsidRPr="004918EF">
              <w:rPr>
                <w:sz w:val="22"/>
                <w:szCs w:val="22"/>
                <w:lang w:val="lv-LV"/>
              </w:rPr>
              <w:t>)</w:t>
            </w:r>
          </w:p>
          <w:p w:rsidR="00D949F3" w:rsidRDefault="00D949F3" w:rsidP="00D949F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</w:t>
            </w:r>
            <w:r w:rsidR="009377AA">
              <w:rPr>
                <w:sz w:val="22"/>
                <w:szCs w:val="22"/>
                <w:lang w:val="lv-LV"/>
              </w:rPr>
              <w:t>r.</w:t>
            </w:r>
            <w:r w:rsidR="009603A5">
              <w:rPr>
                <w:sz w:val="22"/>
                <w:szCs w:val="22"/>
                <w:lang w:val="lv-LV"/>
              </w:rPr>
              <w:t>4</w:t>
            </w: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Rīgā, Kaļķ</w:t>
            </w:r>
            <w:r w:rsidR="007F6033">
              <w:rPr>
                <w:sz w:val="22"/>
                <w:szCs w:val="22"/>
                <w:lang w:val="lv-LV"/>
              </w:rPr>
              <w:t>u ielā 1 – 322. telpā, plkst. 1</w:t>
            </w:r>
            <w:r w:rsidR="009603A5">
              <w:rPr>
                <w:sz w:val="22"/>
                <w:szCs w:val="22"/>
                <w:lang w:val="lv-LV"/>
              </w:rPr>
              <w:t>1:0</w:t>
            </w:r>
            <w:r>
              <w:rPr>
                <w:sz w:val="22"/>
                <w:szCs w:val="22"/>
                <w:lang w:val="lv-LV"/>
              </w:rPr>
              <w:t xml:space="preserve">0                                                                                         </w:t>
            </w:r>
            <w:r w:rsidR="009603A5">
              <w:rPr>
                <w:sz w:val="22"/>
                <w:szCs w:val="22"/>
                <w:lang w:val="lv-LV"/>
              </w:rPr>
              <w:t>11</w:t>
            </w:r>
            <w:r w:rsidR="007F6033">
              <w:rPr>
                <w:sz w:val="22"/>
                <w:szCs w:val="22"/>
                <w:lang w:val="lv-LV"/>
              </w:rPr>
              <w:t>.01.2018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377AA" w:rsidRDefault="009377AA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377AA" w:rsidRDefault="009377AA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7263"/>
            </w:tblGrid>
            <w:tr w:rsidR="00D949F3" w:rsidRPr="00364CE0" w:rsidTr="009224DE">
              <w:tc>
                <w:tcPr>
                  <w:tcW w:w="3085" w:type="dxa"/>
                </w:tcPr>
                <w:p w:rsidR="00D949F3" w:rsidRPr="00364CE0" w:rsidRDefault="00D949F3" w:rsidP="00D949F3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63" w:type="dxa"/>
                </w:tcPr>
                <w:p w:rsidR="00D949F3" w:rsidRPr="00364CE0" w:rsidRDefault="00D949F3" w:rsidP="00D949F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364CE0" w:rsidRDefault="00D949F3" w:rsidP="00D949F3">
                  <w:pPr>
                    <w:rPr>
                      <w:b/>
                      <w:sz w:val="22"/>
                      <w:szCs w:val="22"/>
                    </w:rPr>
                  </w:pPr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7263" w:type="dxa"/>
                </w:tcPr>
                <w:p w:rsidR="00D949F3" w:rsidRPr="00364CE0" w:rsidRDefault="00D949F3" w:rsidP="00D949F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949F3" w:rsidRPr="00364CE0" w:rsidTr="009224DE">
              <w:trPr>
                <w:trHeight w:val="334"/>
              </w:trPr>
              <w:tc>
                <w:tcPr>
                  <w:tcW w:w="3085" w:type="dxa"/>
                </w:tcPr>
                <w:p w:rsidR="00D949F3" w:rsidRPr="0032617D" w:rsidRDefault="00D949F3" w:rsidP="00D949F3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2617D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2617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617D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32617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63" w:type="dxa"/>
                </w:tcPr>
                <w:p w:rsidR="00D949F3" w:rsidRPr="0032617D" w:rsidRDefault="00D949F3" w:rsidP="00D949F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Dana Beļakova</w:t>
                  </w:r>
                </w:p>
              </w:tc>
              <w:tc>
                <w:tcPr>
                  <w:tcW w:w="7263" w:type="dxa"/>
                </w:tcPr>
                <w:p w:rsidR="00D949F3" w:rsidRPr="00901AE7" w:rsidRDefault="007F6033" w:rsidP="007F603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Apģērbu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tekstila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tehnoloģiju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katedras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asociētais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Evija Plone</w:t>
                  </w:r>
                </w:p>
              </w:tc>
              <w:tc>
                <w:tcPr>
                  <w:tcW w:w="7263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Projektu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sagatvošanas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attīstības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nodaļas</w:t>
                  </w:r>
                  <w:proofErr w:type="spellEnd"/>
                  <w:r w:rsidR="00D949F3" w:rsidRPr="00901AE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projektu</w:t>
                  </w:r>
                  <w:proofErr w:type="spellEnd"/>
                  <w:r w:rsidR="00D949F3" w:rsidRPr="00901AE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vadītāja</w:t>
                  </w:r>
                  <w:proofErr w:type="spellEnd"/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D949F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63" w:type="dxa"/>
                </w:tcPr>
                <w:p w:rsidR="00D949F3" w:rsidRPr="00901AE7" w:rsidRDefault="00D949F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949F3" w:rsidRDefault="00D949F3" w:rsidP="00D949F3">
            <w:pPr>
              <w:jc w:val="both"/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both"/>
              <w:rPr>
                <w:sz w:val="22"/>
                <w:szCs w:val="22"/>
                <w:lang w:val="lv-LV"/>
              </w:rPr>
            </w:pPr>
            <w:r w:rsidRPr="00270D5A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7F6033">
              <w:rPr>
                <w:sz w:val="22"/>
                <w:szCs w:val="22"/>
                <w:lang w:val="lv-LV"/>
              </w:rPr>
              <w:t>finanšu prorektora</w:t>
            </w:r>
            <w:r w:rsidRPr="00270D5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</w:rPr>
              <w:t xml:space="preserve">2017. </w:t>
            </w:r>
            <w:proofErr w:type="spellStart"/>
            <w:proofErr w:type="gramStart"/>
            <w:r>
              <w:rPr>
                <w:sz w:val="22"/>
                <w:szCs w:val="22"/>
              </w:rPr>
              <w:t>gada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F603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270D5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6033">
              <w:rPr>
                <w:sz w:val="22"/>
                <w:szCs w:val="22"/>
              </w:rPr>
              <w:t>novembra</w:t>
            </w:r>
            <w:proofErr w:type="spellEnd"/>
            <w:proofErr w:type="gramEnd"/>
            <w:r w:rsidR="007F6033">
              <w:rPr>
                <w:sz w:val="22"/>
                <w:szCs w:val="22"/>
              </w:rPr>
              <w:t xml:space="preserve"> </w:t>
            </w:r>
            <w:proofErr w:type="spellStart"/>
            <w:r w:rsidR="007F6033">
              <w:rPr>
                <w:sz w:val="22"/>
                <w:szCs w:val="22"/>
              </w:rPr>
              <w:t>rīkojumu</w:t>
            </w:r>
            <w:proofErr w:type="spellEnd"/>
            <w:r w:rsidR="007F6033">
              <w:rPr>
                <w:sz w:val="22"/>
                <w:szCs w:val="22"/>
              </w:rPr>
              <w:t xml:space="preserve"> </w:t>
            </w:r>
            <w:proofErr w:type="spellStart"/>
            <w:r w:rsidR="007F6033">
              <w:rPr>
                <w:sz w:val="22"/>
                <w:szCs w:val="22"/>
              </w:rPr>
              <w:t>Nr</w:t>
            </w:r>
            <w:proofErr w:type="spellEnd"/>
            <w:r w:rsidR="007F6033">
              <w:rPr>
                <w:sz w:val="22"/>
                <w:szCs w:val="22"/>
              </w:rPr>
              <w:t>. 03000-1.2/136</w:t>
            </w:r>
            <w:r w:rsidRPr="00270D5A">
              <w:rPr>
                <w:sz w:val="22"/>
                <w:szCs w:val="22"/>
                <w:lang w:val="lv-LV"/>
              </w:rPr>
              <w:t>.</w:t>
            </w:r>
          </w:p>
          <w:p w:rsidR="00BA7A7C" w:rsidRPr="005400EE" w:rsidRDefault="00BA7A7C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C86BE2" w:rsidP="00F53E9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Sēdes norise:</w:t>
            </w:r>
          </w:p>
          <w:p w:rsidR="00F53E95" w:rsidRPr="00DF738E" w:rsidRDefault="009377AA" w:rsidP="00DF738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</w:t>
            </w:r>
            <w:r w:rsidR="007F6033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Gramsta informācija</w:t>
            </w:r>
          </w:p>
          <w:p w:rsidR="00700735" w:rsidRPr="00DF738E" w:rsidRDefault="00700735" w:rsidP="0070073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F53E95" w:rsidP="00F53E9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03089C" w:rsidRPr="009377AA" w:rsidRDefault="00F53E95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F4006D">
              <w:rPr>
                <w:sz w:val="22"/>
                <w:szCs w:val="22"/>
                <w:lang w:val="lv-LV"/>
              </w:rPr>
              <w:t>Komisijas priekšsēdētājs J.</w:t>
            </w:r>
            <w:r w:rsidR="007F6033">
              <w:rPr>
                <w:sz w:val="22"/>
                <w:szCs w:val="22"/>
                <w:lang w:val="lv-LV"/>
              </w:rPr>
              <w:t xml:space="preserve"> </w:t>
            </w:r>
            <w:r w:rsidRPr="00F4006D">
              <w:rPr>
                <w:sz w:val="22"/>
                <w:szCs w:val="22"/>
                <w:lang w:val="lv-LV"/>
              </w:rPr>
              <w:t xml:space="preserve">Gramsts informē, ka </w:t>
            </w:r>
            <w:r w:rsidR="005400EE" w:rsidRPr="00F4006D">
              <w:rPr>
                <w:sz w:val="22"/>
                <w:szCs w:val="22"/>
                <w:lang w:val="lv-LV"/>
              </w:rPr>
              <w:t>ir</w:t>
            </w:r>
            <w:r w:rsidR="009603A5">
              <w:rPr>
                <w:sz w:val="22"/>
                <w:szCs w:val="22"/>
                <w:lang w:val="lv-LV"/>
              </w:rPr>
              <w:t xml:space="preserve"> nepieciešams precizēt ar 10.01.2018. protokolu Nr.3 sniegto atbildi uz ieinteresētā piegādātāja</w:t>
            </w:r>
            <w:r w:rsidR="005400EE" w:rsidRPr="00F4006D">
              <w:rPr>
                <w:sz w:val="22"/>
                <w:szCs w:val="22"/>
                <w:lang w:val="lv-LV"/>
              </w:rPr>
              <w:t xml:space="preserve"> </w:t>
            </w:r>
            <w:r w:rsidR="00E4440A">
              <w:rPr>
                <w:sz w:val="22"/>
                <w:szCs w:val="22"/>
                <w:lang w:val="lv-LV"/>
              </w:rPr>
              <w:t>08</w:t>
            </w:r>
            <w:r w:rsidR="007F6033">
              <w:rPr>
                <w:sz w:val="22"/>
                <w:szCs w:val="22"/>
                <w:lang w:val="lv-LV"/>
              </w:rPr>
              <w:t>.01.2018</w:t>
            </w:r>
            <w:r w:rsidR="009377AA">
              <w:rPr>
                <w:sz w:val="22"/>
                <w:szCs w:val="22"/>
                <w:lang w:val="lv-LV"/>
              </w:rPr>
              <w:t xml:space="preserve">. </w:t>
            </w:r>
            <w:r w:rsidR="007F6033">
              <w:rPr>
                <w:sz w:val="22"/>
                <w:szCs w:val="22"/>
                <w:lang w:val="lv-LV"/>
              </w:rPr>
              <w:t xml:space="preserve">elektroniski </w:t>
            </w:r>
            <w:r w:rsidR="009603A5">
              <w:rPr>
                <w:sz w:val="22"/>
                <w:szCs w:val="22"/>
                <w:lang w:val="lv-LV"/>
              </w:rPr>
              <w:t>saņemtajiem</w:t>
            </w:r>
            <w:r w:rsidR="005400EE" w:rsidRPr="00F4006D"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jautājumi</w:t>
            </w:r>
            <w:r w:rsidR="009603A5">
              <w:rPr>
                <w:sz w:val="22"/>
                <w:szCs w:val="22"/>
                <w:lang w:val="lv-LV"/>
              </w:rPr>
              <w:t>em</w:t>
            </w:r>
            <w:r w:rsidR="009377AA">
              <w:rPr>
                <w:sz w:val="22"/>
                <w:szCs w:val="22"/>
                <w:lang w:val="lv-LV"/>
              </w:rPr>
              <w:t xml:space="preserve"> par iepirkuma Nolikumu.</w:t>
            </w:r>
          </w:p>
          <w:p w:rsidR="009603A5" w:rsidRPr="009603A5" w:rsidRDefault="009603A5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Komisijas locekle</w:t>
            </w:r>
            <w:r w:rsidR="009377A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E. Plone ierosina papildināt iepriekš sniegto atbildi, </w:t>
            </w:r>
            <w:r w:rsidR="009377AA">
              <w:rPr>
                <w:sz w:val="22"/>
                <w:szCs w:val="22"/>
                <w:lang w:val="lv-LV"/>
              </w:rPr>
              <w:t xml:space="preserve"> ņemot vērā </w:t>
            </w:r>
            <w:r w:rsidR="003C221A">
              <w:rPr>
                <w:sz w:val="22"/>
                <w:szCs w:val="22"/>
                <w:lang w:val="lv-LV"/>
              </w:rPr>
              <w:t xml:space="preserve">pilnu </w:t>
            </w:r>
            <w:bookmarkStart w:id="0" w:name="_GoBack"/>
            <w:bookmarkEnd w:id="0"/>
            <w:r w:rsidR="009377AA">
              <w:rPr>
                <w:sz w:val="22"/>
                <w:szCs w:val="22"/>
                <w:lang w:val="lv-LV"/>
              </w:rPr>
              <w:t xml:space="preserve">Pasūtītāja pārstāvja </w:t>
            </w:r>
            <w:r>
              <w:rPr>
                <w:sz w:val="22"/>
                <w:szCs w:val="22"/>
                <w:lang w:val="lv-LV"/>
              </w:rPr>
              <w:t xml:space="preserve">               </w:t>
            </w:r>
            <w:r w:rsidR="007F6033">
              <w:rPr>
                <w:sz w:val="22"/>
                <w:szCs w:val="22"/>
                <w:lang w:val="lv-LV"/>
              </w:rPr>
              <w:t>I. Dāboliņas</w:t>
            </w:r>
            <w:r w:rsidR="009377AA">
              <w:rPr>
                <w:sz w:val="22"/>
                <w:szCs w:val="22"/>
                <w:lang w:val="lv-LV"/>
              </w:rPr>
              <w:t xml:space="preserve"> </w:t>
            </w:r>
            <w:r w:rsidR="00E4440A">
              <w:rPr>
                <w:sz w:val="22"/>
                <w:szCs w:val="22"/>
                <w:lang w:val="lv-LV"/>
              </w:rPr>
              <w:t>10</w:t>
            </w:r>
            <w:r w:rsidR="007F6033">
              <w:rPr>
                <w:sz w:val="22"/>
                <w:szCs w:val="22"/>
                <w:lang w:val="lv-LV"/>
              </w:rPr>
              <w:t>.01.2018. sniegto</w:t>
            </w:r>
            <w:r w:rsidR="009377AA"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informāciju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9377AA" w:rsidRPr="009377AA" w:rsidRDefault="009603A5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Komisijas locekļi  nolemj sniegt šādu precizētu atbildi</w:t>
            </w:r>
            <w:r w:rsidR="009377AA">
              <w:rPr>
                <w:sz w:val="22"/>
                <w:szCs w:val="22"/>
                <w:lang w:val="lv-LV"/>
              </w:rPr>
              <w:t>:</w:t>
            </w:r>
          </w:p>
          <w:p w:rsidR="009377AA" w:rsidRDefault="009377AA" w:rsidP="009377AA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E4440A" w:rsidRPr="00E4440A" w:rsidRDefault="00E4440A" w:rsidP="00E4440A">
            <w:pPr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Question</w:t>
            </w:r>
            <w:proofErr w:type="spellEnd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There are 4 uniforms. For manikin tests, it is clear: 4 manikin tests “standing” and 4 manikin tests “walking” in total.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4440A">
              <w:rPr>
                <w:rFonts w:eastAsia="Calibri"/>
                <w:sz w:val="22"/>
                <w:szCs w:val="22"/>
              </w:rPr>
              <w:t>But</w:t>
            </w:r>
            <w:proofErr w:type="gramEnd"/>
            <w:r w:rsidRPr="00E4440A">
              <w:rPr>
                <w:rFonts w:eastAsia="Calibri"/>
                <w:sz w:val="22"/>
                <w:szCs w:val="22"/>
              </w:rPr>
              <w:t xml:space="preserve"> for skin model tests, how many tests have to be carried out in total? 6 thermal resistance and 6 water </w:t>
            </w:r>
            <w:proofErr w:type="spellStart"/>
            <w:r w:rsidRPr="00E4440A">
              <w:rPr>
                <w:rFonts w:eastAsia="Calibri"/>
                <w:sz w:val="22"/>
                <w:szCs w:val="22"/>
              </w:rPr>
              <w:t>vapour</w:t>
            </w:r>
            <w:proofErr w:type="spellEnd"/>
            <w:r w:rsidRPr="00E4440A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E4440A">
              <w:rPr>
                <w:rFonts w:eastAsia="Calibri"/>
                <w:sz w:val="22"/>
                <w:szCs w:val="22"/>
              </w:rPr>
              <w:t>resistance?</w:t>
            </w:r>
            <w:proofErr w:type="gramEnd"/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#1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#2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#3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One on uniform #4 (all layers)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 xml:space="preserve">One on </w:t>
            </w:r>
            <w:proofErr w:type="gramStart"/>
            <w:r w:rsidRPr="00E4440A">
              <w:rPr>
                <w:rFonts w:eastAsia="Calibri"/>
                <w:sz w:val="22"/>
                <w:szCs w:val="22"/>
              </w:rPr>
              <w:t>1</w:t>
            </w:r>
            <w:r w:rsidRPr="00E4440A">
              <w:rPr>
                <w:rFonts w:eastAsia="Calibri"/>
                <w:sz w:val="22"/>
                <w:szCs w:val="22"/>
                <w:vertAlign w:val="superscript"/>
              </w:rPr>
              <w:t>st</w:t>
            </w:r>
            <w:proofErr w:type="gramEnd"/>
            <w:r w:rsidRPr="00E4440A">
              <w:rPr>
                <w:rFonts w:eastAsia="Calibri"/>
                <w:sz w:val="22"/>
                <w:szCs w:val="22"/>
              </w:rPr>
              <w:t xml:space="preserve"> layer (of which uniform?)</w:t>
            </w:r>
          </w:p>
          <w:p w:rsidR="00E4440A" w:rsidRPr="00E4440A" w:rsidRDefault="00E4440A" w:rsidP="00E4440A">
            <w:pPr>
              <w:numPr>
                <w:ilvl w:val="0"/>
                <w:numId w:val="39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 xml:space="preserve">One on </w:t>
            </w:r>
            <w:proofErr w:type="gramStart"/>
            <w:r w:rsidRPr="00E4440A">
              <w:rPr>
                <w:rFonts w:eastAsia="Calibri"/>
                <w:sz w:val="22"/>
                <w:szCs w:val="22"/>
              </w:rPr>
              <w:t>4</w:t>
            </w:r>
            <w:r w:rsidRPr="00E4440A"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proofErr w:type="gramEnd"/>
            <w:r w:rsidRPr="00E4440A">
              <w:rPr>
                <w:rFonts w:eastAsia="Calibri"/>
                <w:sz w:val="22"/>
                <w:szCs w:val="22"/>
              </w:rPr>
              <w:t xml:space="preserve"> layer (of which uniform?)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>Is it correct?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Answer</w:t>
            </w:r>
            <w:proofErr w:type="spellEnd"/>
            <w:r w:rsidRPr="00E4440A"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</w:p>
          <w:p w:rsidR="00E4440A" w:rsidRPr="00E4440A" w:rsidRDefault="00E4440A" w:rsidP="00E4440A">
            <w:pPr>
              <w:jc w:val="both"/>
              <w:rPr>
                <w:rFonts w:eastAsia="Calibri"/>
                <w:sz w:val="22"/>
                <w:szCs w:val="22"/>
              </w:rPr>
            </w:pPr>
            <w:r w:rsidRPr="00E4440A">
              <w:rPr>
                <w:rFonts w:eastAsia="Calibri"/>
                <w:sz w:val="22"/>
                <w:szCs w:val="22"/>
              </w:rPr>
              <w:t xml:space="preserve">Amount of skin tests stated correctly. </w:t>
            </w:r>
            <w:r w:rsidR="009603A5" w:rsidRPr="009603A5">
              <w:rPr>
                <w:rFonts w:eastAsia="Calibri"/>
                <w:sz w:val="22"/>
                <w:szCs w:val="22"/>
              </w:rPr>
              <w:t xml:space="preserve">It </w:t>
            </w:r>
            <w:proofErr w:type="gramStart"/>
            <w:r w:rsidR="009603A5" w:rsidRPr="009603A5">
              <w:rPr>
                <w:rFonts w:eastAsia="Calibri"/>
                <w:sz w:val="22"/>
                <w:szCs w:val="22"/>
              </w:rPr>
              <w:t>could be discussed</w:t>
            </w:r>
            <w:proofErr w:type="gramEnd"/>
            <w:r w:rsidR="009603A5" w:rsidRPr="009603A5">
              <w:rPr>
                <w:rFonts w:eastAsia="Calibri"/>
                <w:sz w:val="22"/>
                <w:szCs w:val="22"/>
              </w:rPr>
              <w:t xml:space="preserve"> if there should be more than one tests for first and fourth level garments. As there will be two different materials (samples) for this level.</w:t>
            </w:r>
          </w:p>
          <w:p w:rsidR="00E4440A" w:rsidRDefault="00E4440A" w:rsidP="00E4440A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  <w:r w:rsidRPr="00E4440A"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  <w:t xml:space="preserve"> </w:t>
            </w:r>
          </w:p>
          <w:p w:rsidR="00E4440A" w:rsidRDefault="00E4440A" w:rsidP="00E4440A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</w:p>
          <w:p w:rsidR="00F00C85" w:rsidRPr="003C704D" w:rsidRDefault="00F00C85" w:rsidP="00E4440A">
            <w:pPr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r w:rsidRPr="003C704D">
              <w:rPr>
                <w:b/>
                <w:sz w:val="22"/>
                <w:szCs w:val="22"/>
                <w:u w:val="single"/>
                <w:lang w:val="lv-LV"/>
              </w:rPr>
              <w:lastRenderedPageBreak/>
              <w:t>Komisija nolemj:</w:t>
            </w:r>
          </w:p>
          <w:p w:rsidR="009377AA" w:rsidRDefault="009377AA" w:rsidP="00F00C8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</w:t>
            </w:r>
            <w:r w:rsidR="00226F92">
              <w:rPr>
                <w:sz w:val="22"/>
                <w:szCs w:val="22"/>
                <w:lang w:val="lv-LV"/>
              </w:rPr>
              <w:t>zdot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226F92">
              <w:rPr>
                <w:sz w:val="22"/>
                <w:szCs w:val="22"/>
                <w:lang w:val="lv-LV"/>
              </w:rPr>
              <w:t>Gramstam</w:t>
            </w:r>
            <w:proofErr w:type="spellEnd"/>
            <w:r w:rsidR="00226F92">
              <w:rPr>
                <w:sz w:val="22"/>
                <w:szCs w:val="22"/>
                <w:lang w:val="lv-LV"/>
              </w:rPr>
              <w:t xml:space="preserve"> publicēt atbilstošus </w:t>
            </w:r>
            <w:r>
              <w:rPr>
                <w:sz w:val="22"/>
                <w:szCs w:val="22"/>
                <w:lang w:val="lv-LV"/>
              </w:rPr>
              <w:t>informāciju</w:t>
            </w:r>
            <w:r w:rsidR="00226F92">
              <w:rPr>
                <w:sz w:val="22"/>
                <w:szCs w:val="22"/>
                <w:lang w:val="lv-LV"/>
              </w:rPr>
              <w:t xml:space="preserve"> par </w:t>
            </w:r>
            <w:r>
              <w:rPr>
                <w:sz w:val="22"/>
                <w:szCs w:val="22"/>
                <w:lang w:val="lv-LV"/>
              </w:rPr>
              <w:t>komisijas sniegtajām atbildēm uz jautājumiem;</w:t>
            </w:r>
          </w:p>
          <w:p w:rsidR="00F00C85" w:rsidRPr="005400EE" w:rsidRDefault="009377AA" w:rsidP="00F00C8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uzdot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G</w:t>
            </w:r>
            <w:r w:rsidR="008404C0">
              <w:rPr>
                <w:sz w:val="22"/>
                <w:szCs w:val="22"/>
                <w:lang w:val="lv-LV"/>
              </w:rPr>
              <w:t>ramstam</w:t>
            </w:r>
            <w:proofErr w:type="spellEnd"/>
            <w:r w:rsidR="008404C0">
              <w:rPr>
                <w:sz w:val="22"/>
                <w:szCs w:val="22"/>
                <w:lang w:val="lv-LV"/>
              </w:rPr>
              <w:t xml:space="preserve"> informēt ieinteresēto piegādātāju par sniegtajām atbildēm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Pr="005400EE">
              <w:rPr>
                <w:sz w:val="22"/>
                <w:szCs w:val="22"/>
                <w:lang w:val="lv-LV"/>
              </w:rPr>
              <w:t xml:space="preserve"> slēdz: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r w:rsidRPr="005400EE">
              <w:rPr>
                <w:sz w:val="22"/>
                <w:szCs w:val="22"/>
                <w:lang w:val="lv-LV"/>
              </w:rPr>
              <w:t>Gramsts, plkst.</w:t>
            </w:r>
            <w:r w:rsidR="009603A5">
              <w:rPr>
                <w:sz w:val="22"/>
                <w:szCs w:val="22"/>
                <w:lang w:val="lv-LV"/>
              </w:rPr>
              <w:t xml:space="preserve"> 11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9603A5">
              <w:rPr>
                <w:sz w:val="22"/>
                <w:szCs w:val="22"/>
                <w:lang w:val="lv-LV"/>
              </w:rPr>
              <w:t>1</w:t>
            </w:r>
            <w:r w:rsidRPr="005400EE">
              <w:rPr>
                <w:sz w:val="22"/>
                <w:szCs w:val="22"/>
                <w:lang w:val="lv-LV"/>
              </w:rPr>
              <w:t>0.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E043CB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  </w:t>
                  </w:r>
                </w:p>
                <w:p w:rsidR="00F00C85" w:rsidRPr="005400EE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="00E043CB">
                    <w:rPr>
                      <w:sz w:val="22"/>
                      <w:szCs w:val="22"/>
                      <w:lang w:val="lv-LV"/>
                    </w:rPr>
                    <w:t xml:space="preserve">  </w:t>
                  </w:r>
                  <w:r w:rsidRPr="005400EE">
                    <w:rPr>
                      <w:sz w:val="22"/>
                      <w:szCs w:val="22"/>
                      <w:lang w:val="lv-LV"/>
                    </w:rPr>
                    <w:t>J.</w:t>
                  </w:r>
                  <w:r w:rsidR="00E043CB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Pr="005400EE">
                    <w:rPr>
                      <w:sz w:val="22"/>
                      <w:szCs w:val="22"/>
                      <w:lang w:val="lv-LV"/>
                    </w:rPr>
                    <w:t>Gramsts</w:t>
                  </w:r>
                </w:p>
              </w:tc>
            </w:tr>
            <w:tr w:rsidR="00F00C85" w:rsidRPr="005400EE" w:rsidTr="005650D0">
              <w:trPr>
                <w:gridAfter w:val="1"/>
                <w:wAfter w:w="2850" w:type="dxa"/>
              </w:trPr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00C85" w:rsidRPr="005400EE" w:rsidTr="005650D0">
                    <w:tc>
                      <w:tcPr>
                        <w:tcW w:w="9464" w:type="dxa"/>
                      </w:tcPr>
                      <w:p w:rsidR="008404C0" w:rsidRDefault="008404C0">
                        <w:r>
                          <w:t xml:space="preserve">  </w:t>
                        </w:r>
                        <w:r w:rsidR="00530CB6">
                          <w:t xml:space="preserve"> </w:t>
                        </w:r>
                      </w:p>
                      <w:tbl>
                        <w:tblPr>
                          <w:tblW w:w="946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Default="008404C0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E. Plone</w:t>
                              </w:r>
                            </w:p>
                            <w:p w:rsidR="00E043CB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43CB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43CB" w:rsidRPr="00323057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E043CB" w:rsidRDefault="00F00C85" w:rsidP="00E043CB">
                              <w:pPr>
                                <w:pStyle w:val="ListParagrap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</w:tbl>
                <w:p w:rsidR="00F00C85" w:rsidRPr="005400EE" w:rsidRDefault="00F00C85" w:rsidP="00F00C85"/>
              </w:tc>
            </w:tr>
          </w:tbl>
          <w:p w:rsidR="00F00C85" w:rsidRPr="005400EE" w:rsidRDefault="00F00C85" w:rsidP="00F00C85">
            <w:pPr>
              <w:pStyle w:val="ListParagraph"/>
              <w:ind w:left="36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5400EE" w:rsidTr="00977487">
        <w:trPr>
          <w:trHeight w:val="5458"/>
        </w:trPr>
        <w:tc>
          <w:tcPr>
            <w:tcW w:w="10170" w:type="dxa"/>
            <w:shd w:val="clear" w:color="auto" w:fill="auto"/>
          </w:tcPr>
          <w:p w:rsidR="00597F81" w:rsidRPr="005400EE" w:rsidRDefault="00597F81" w:rsidP="00F00C8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597F81" w:rsidRPr="00977487" w:rsidRDefault="00597F81" w:rsidP="00977487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977487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C" w:rsidRDefault="00435B0C" w:rsidP="004F6DA6">
      <w:r>
        <w:separator/>
      </w:r>
    </w:p>
  </w:endnote>
  <w:endnote w:type="continuationSeparator" w:id="0">
    <w:p w:rsidR="00435B0C" w:rsidRDefault="00435B0C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C" w:rsidRDefault="00435B0C" w:rsidP="004F6DA6">
      <w:r>
        <w:separator/>
      </w:r>
    </w:p>
  </w:footnote>
  <w:footnote w:type="continuationSeparator" w:id="0">
    <w:p w:rsidR="00435B0C" w:rsidRDefault="00435B0C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8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72651"/>
    <w:multiLevelType w:val="hybridMultilevel"/>
    <w:tmpl w:val="D130C0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6759"/>
    <w:multiLevelType w:val="hybridMultilevel"/>
    <w:tmpl w:val="76AE91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2D4370"/>
    <w:multiLevelType w:val="hybridMultilevel"/>
    <w:tmpl w:val="EE803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E13B6"/>
    <w:multiLevelType w:val="hybridMultilevel"/>
    <w:tmpl w:val="A6429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0"/>
  </w:num>
  <w:num w:numId="8">
    <w:abstractNumId w:val="34"/>
  </w:num>
  <w:num w:numId="9">
    <w:abstractNumId w:val="11"/>
  </w:num>
  <w:num w:numId="10">
    <w:abstractNumId w:val="30"/>
  </w:num>
  <w:num w:numId="11">
    <w:abstractNumId w:val="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6"/>
  </w:num>
  <w:num w:numId="16">
    <w:abstractNumId w:val="8"/>
  </w:num>
  <w:num w:numId="17">
    <w:abstractNumId w:val="25"/>
  </w:num>
  <w:num w:numId="18">
    <w:abstractNumId w:val="13"/>
  </w:num>
  <w:num w:numId="19">
    <w:abstractNumId w:val="10"/>
  </w:num>
  <w:num w:numId="20">
    <w:abstractNumId w:val="21"/>
  </w:num>
  <w:num w:numId="21">
    <w:abstractNumId w:val="33"/>
  </w:num>
  <w:num w:numId="22">
    <w:abstractNumId w:val="27"/>
  </w:num>
  <w:num w:numId="23">
    <w:abstractNumId w:val="15"/>
  </w:num>
  <w:num w:numId="24">
    <w:abstractNumId w:val="17"/>
  </w:num>
  <w:num w:numId="25">
    <w:abstractNumId w:val="4"/>
  </w:num>
  <w:num w:numId="26">
    <w:abstractNumId w:val="2"/>
  </w:num>
  <w:num w:numId="27">
    <w:abstractNumId w:val="7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  <w:num w:numId="33">
    <w:abstractNumId w:val="3"/>
  </w:num>
  <w:num w:numId="34">
    <w:abstractNumId w:val="18"/>
  </w:num>
  <w:num w:numId="35">
    <w:abstractNumId w:val="31"/>
  </w:num>
  <w:num w:numId="36">
    <w:abstractNumId w:val="0"/>
  </w:num>
  <w:num w:numId="37">
    <w:abstractNumId w:val="16"/>
  </w:num>
  <w:num w:numId="38">
    <w:abstractNumId w:val="3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089C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351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1A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CB6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092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033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4C0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7AA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3A5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BE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027D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9F3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3CB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440A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BF004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3</cp:revision>
  <cp:lastPrinted>2017-05-18T08:48:00Z</cp:lastPrinted>
  <dcterms:created xsi:type="dcterms:W3CDTF">2018-01-11T09:31:00Z</dcterms:created>
  <dcterms:modified xsi:type="dcterms:W3CDTF">2018-01-11T09:32:00Z</dcterms:modified>
</cp:coreProperties>
</file>