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5C24D5" w:rsidRDefault="005C24D5" w:rsidP="005C24D5">
            <w:pPr>
              <w:ind w:right="-170"/>
              <w:jc w:val="center"/>
              <w:rPr>
                <w:sz w:val="22"/>
                <w:szCs w:val="22"/>
                <w:lang w:val="lv-LV"/>
              </w:rPr>
            </w:pPr>
            <w:r>
              <w:rPr>
                <w:sz w:val="22"/>
                <w:szCs w:val="22"/>
                <w:lang w:val="lv-LV"/>
              </w:rPr>
              <w:t>Atklāts konkurss</w:t>
            </w:r>
          </w:p>
          <w:p w:rsidR="005C24D5" w:rsidRDefault="005C24D5" w:rsidP="005C24D5">
            <w:pPr>
              <w:ind w:right="-170"/>
              <w:jc w:val="center"/>
              <w:rPr>
                <w:b/>
                <w:bCs/>
                <w:sz w:val="22"/>
                <w:szCs w:val="22"/>
                <w:lang w:val="lv-LV"/>
              </w:rPr>
            </w:pPr>
            <w:r w:rsidRPr="00F4006D">
              <w:rPr>
                <w:b/>
                <w:bCs/>
                <w:sz w:val="22"/>
                <w:szCs w:val="22"/>
                <w:lang w:val="lv-LV"/>
              </w:rPr>
              <w:t xml:space="preserve"> “</w:t>
            </w:r>
            <w:r w:rsidRPr="009B0E00">
              <w:rPr>
                <w:b/>
                <w:bCs/>
                <w:sz w:val="22"/>
                <w:szCs w:val="22"/>
                <w:lang w:val="lv-LV"/>
              </w:rPr>
              <w:t>Datorzinātnes un informācijas tehnoloģijas fakultātes mācību korpusa Zunda krastmalā 10 un publiskās auditorijas Zunda krastmalā 8, Rīgā, jaunbūvju būvprojektu izstrādes uzraudzība un būvuzraudzība RTU Inženierzinātņu un viedo tehnoloģiju centra izveides ietvaros</w:t>
            </w:r>
            <w:r w:rsidRPr="00F4006D">
              <w:rPr>
                <w:b/>
                <w:bCs/>
                <w:sz w:val="22"/>
                <w:szCs w:val="22"/>
                <w:lang w:val="lv-LV"/>
              </w:rPr>
              <w:t>”</w:t>
            </w:r>
          </w:p>
          <w:p w:rsidR="005C24D5" w:rsidRPr="004918EF" w:rsidRDefault="005C24D5" w:rsidP="005C24D5">
            <w:pPr>
              <w:ind w:right="-170"/>
              <w:jc w:val="center"/>
              <w:rPr>
                <w:sz w:val="22"/>
                <w:szCs w:val="22"/>
                <w:lang w:val="lv-LV"/>
              </w:rPr>
            </w:pPr>
            <w:r w:rsidRPr="004918EF">
              <w:rPr>
                <w:sz w:val="22"/>
                <w:szCs w:val="22"/>
                <w:lang w:val="lv-LV"/>
              </w:rPr>
              <w:t xml:space="preserve"> (i</w:t>
            </w:r>
            <w:r>
              <w:rPr>
                <w:sz w:val="22"/>
                <w:szCs w:val="22"/>
                <w:lang w:val="lv-LV"/>
              </w:rPr>
              <w:t>dentifikācijas Nr. RTU – 2017/109</w:t>
            </w:r>
            <w:r w:rsidRPr="004918EF">
              <w:rPr>
                <w:sz w:val="22"/>
                <w:szCs w:val="22"/>
                <w:lang w:val="lv-LV"/>
              </w:rPr>
              <w:t>)</w:t>
            </w:r>
          </w:p>
          <w:p w:rsidR="005C24D5" w:rsidRDefault="005C24D5" w:rsidP="005C24D5">
            <w:pPr>
              <w:jc w:val="center"/>
              <w:rPr>
                <w:b/>
                <w:sz w:val="22"/>
                <w:szCs w:val="22"/>
                <w:lang w:val="lv-LV"/>
              </w:rPr>
            </w:pPr>
          </w:p>
          <w:p w:rsidR="005C24D5" w:rsidRDefault="005C24D5" w:rsidP="005C24D5">
            <w:pPr>
              <w:jc w:val="center"/>
              <w:rPr>
                <w:sz w:val="22"/>
                <w:szCs w:val="22"/>
                <w:lang w:val="lv-LV"/>
              </w:rPr>
            </w:pPr>
            <w:r>
              <w:rPr>
                <w:sz w:val="22"/>
                <w:szCs w:val="22"/>
                <w:lang w:val="lv-LV"/>
              </w:rPr>
              <w:t>Protokols Nr.</w:t>
            </w:r>
            <w:r>
              <w:rPr>
                <w:sz w:val="22"/>
                <w:szCs w:val="22"/>
                <w:lang w:val="lv-LV"/>
              </w:rPr>
              <w:t>2</w:t>
            </w:r>
          </w:p>
          <w:p w:rsidR="005C24D5" w:rsidRDefault="005C24D5" w:rsidP="005C24D5">
            <w:pPr>
              <w:jc w:val="center"/>
              <w:rPr>
                <w:sz w:val="22"/>
                <w:szCs w:val="22"/>
                <w:lang w:val="lv-LV"/>
              </w:rPr>
            </w:pPr>
          </w:p>
          <w:p w:rsidR="005C24D5" w:rsidRDefault="005C24D5" w:rsidP="005C24D5">
            <w:pPr>
              <w:rPr>
                <w:sz w:val="22"/>
                <w:szCs w:val="22"/>
                <w:lang w:val="lv-LV"/>
              </w:rPr>
            </w:pPr>
            <w:r>
              <w:rPr>
                <w:sz w:val="22"/>
                <w:szCs w:val="22"/>
                <w:lang w:val="lv-LV"/>
              </w:rPr>
              <w:t xml:space="preserve"> Rīgā, Kaļķ</w:t>
            </w:r>
            <w:r>
              <w:rPr>
                <w:sz w:val="22"/>
                <w:szCs w:val="22"/>
                <w:lang w:val="lv-LV"/>
              </w:rPr>
              <w:t>u ielā 1 – 322. telpā, plkst. 08:3</w:t>
            </w:r>
            <w:r>
              <w:rPr>
                <w:sz w:val="22"/>
                <w:szCs w:val="22"/>
                <w:lang w:val="lv-LV"/>
              </w:rPr>
              <w:t xml:space="preserve">0                                                                                         </w:t>
            </w:r>
            <w:r>
              <w:rPr>
                <w:sz w:val="22"/>
                <w:szCs w:val="22"/>
                <w:lang w:val="lv-LV"/>
              </w:rPr>
              <w:t>01.03</w:t>
            </w:r>
            <w:r>
              <w:rPr>
                <w:sz w:val="22"/>
                <w:szCs w:val="22"/>
                <w:lang w:val="lv-LV"/>
              </w:rPr>
              <w:t>.2018.</w:t>
            </w:r>
          </w:p>
          <w:p w:rsidR="005C24D5" w:rsidRDefault="005C24D5" w:rsidP="005C24D5">
            <w:pPr>
              <w:jc w:val="center"/>
              <w:rPr>
                <w:sz w:val="22"/>
                <w:szCs w:val="22"/>
                <w:lang w:val="lv-LV"/>
              </w:rPr>
            </w:pPr>
          </w:p>
          <w:tbl>
            <w:tblPr>
              <w:tblW w:w="10348" w:type="dxa"/>
              <w:tblLayout w:type="fixed"/>
              <w:tblLook w:val="04A0" w:firstRow="1" w:lastRow="0" w:firstColumn="1" w:lastColumn="0" w:noHBand="0" w:noVBand="1"/>
            </w:tblPr>
            <w:tblGrid>
              <w:gridCol w:w="3085"/>
              <w:gridCol w:w="7263"/>
            </w:tblGrid>
            <w:tr w:rsidR="005C24D5" w:rsidRPr="00364CE0" w:rsidTr="00BB195D">
              <w:tc>
                <w:tcPr>
                  <w:tcW w:w="3085" w:type="dxa"/>
                </w:tcPr>
                <w:p w:rsidR="005C24D5" w:rsidRPr="00364CE0" w:rsidRDefault="005C24D5" w:rsidP="005C24D5">
                  <w:pPr>
                    <w:tabs>
                      <w:tab w:val="left" w:pos="9575"/>
                    </w:tabs>
                    <w:spacing w:before="120"/>
                    <w:jc w:val="both"/>
                    <w:rPr>
                      <w:b/>
                      <w:sz w:val="22"/>
                      <w:szCs w:val="22"/>
                    </w:rPr>
                  </w:pPr>
                  <w:r w:rsidRPr="00364CE0">
                    <w:rPr>
                      <w:b/>
                      <w:sz w:val="22"/>
                      <w:szCs w:val="22"/>
                    </w:rPr>
                    <w:t>Komisijas priekšsēdētājs:</w:t>
                  </w:r>
                </w:p>
              </w:tc>
              <w:tc>
                <w:tcPr>
                  <w:tcW w:w="7263" w:type="dxa"/>
                </w:tcPr>
                <w:p w:rsidR="005C24D5" w:rsidRPr="00364CE0" w:rsidRDefault="005C24D5" w:rsidP="005C24D5">
                  <w:pPr>
                    <w:tabs>
                      <w:tab w:val="left" w:pos="397"/>
                      <w:tab w:val="left" w:pos="9000"/>
                      <w:tab w:val="left" w:pos="9575"/>
                    </w:tabs>
                    <w:spacing w:before="120"/>
                    <w:jc w:val="both"/>
                    <w:rPr>
                      <w:b/>
                      <w:sz w:val="22"/>
                      <w:szCs w:val="22"/>
                    </w:rPr>
                  </w:pPr>
                </w:p>
              </w:tc>
            </w:tr>
            <w:tr w:rsidR="005C24D5" w:rsidRPr="00364CE0" w:rsidTr="00BB195D">
              <w:tc>
                <w:tcPr>
                  <w:tcW w:w="3085" w:type="dxa"/>
                </w:tcPr>
                <w:p w:rsidR="005C24D5" w:rsidRPr="00364CE0" w:rsidRDefault="005C24D5" w:rsidP="005C24D5">
                  <w:pPr>
                    <w:rPr>
                      <w:b/>
                      <w:sz w:val="22"/>
                      <w:szCs w:val="22"/>
                    </w:rPr>
                  </w:pPr>
                  <w:r w:rsidRPr="00364CE0">
                    <w:rPr>
                      <w:rStyle w:val="c1"/>
                      <w:color w:val="000000"/>
                      <w:sz w:val="22"/>
                      <w:szCs w:val="22"/>
                    </w:rPr>
                    <w:t xml:space="preserve">Jevgēnijs Gramsts </w:t>
                  </w:r>
                </w:p>
              </w:tc>
              <w:tc>
                <w:tcPr>
                  <w:tcW w:w="7263" w:type="dxa"/>
                </w:tcPr>
                <w:p w:rsidR="005C24D5" w:rsidRPr="00364CE0" w:rsidRDefault="005C24D5" w:rsidP="005C24D5">
                  <w:pPr>
                    <w:rPr>
                      <w:b/>
                      <w:sz w:val="22"/>
                      <w:szCs w:val="22"/>
                    </w:rPr>
                  </w:pPr>
                  <w:r w:rsidRPr="00364CE0">
                    <w:rPr>
                      <w:rStyle w:val="c1"/>
                      <w:color w:val="000000"/>
                      <w:sz w:val="22"/>
                      <w:szCs w:val="22"/>
                    </w:rPr>
                    <w:t xml:space="preserve">Juridiskā departamenta Iepirkumu nodaļas vecākais iepirkumu speciālists </w:t>
                  </w:r>
                </w:p>
              </w:tc>
            </w:tr>
            <w:tr w:rsidR="005C24D5" w:rsidRPr="00364CE0" w:rsidTr="00BB195D">
              <w:trPr>
                <w:trHeight w:val="334"/>
              </w:trPr>
              <w:tc>
                <w:tcPr>
                  <w:tcW w:w="3085" w:type="dxa"/>
                </w:tcPr>
                <w:p w:rsidR="005C24D5" w:rsidRPr="0032617D" w:rsidRDefault="005C24D5" w:rsidP="005C24D5">
                  <w:pPr>
                    <w:tabs>
                      <w:tab w:val="left" w:pos="9000"/>
                      <w:tab w:val="left" w:pos="9360"/>
                      <w:tab w:val="left" w:pos="9575"/>
                    </w:tabs>
                    <w:spacing w:before="120"/>
                    <w:jc w:val="both"/>
                    <w:rPr>
                      <w:b/>
                      <w:sz w:val="22"/>
                      <w:szCs w:val="22"/>
                    </w:rPr>
                  </w:pPr>
                  <w:r w:rsidRPr="0032617D">
                    <w:rPr>
                      <w:b/>
                      <w:sz w:val="22"/>
                      <w:szCs w:val="22"/>
                    </w:rPr>
                    <w:t>Komisijas locekļi:</w:t>
                  </w:r>
                </w:p>
              </w:tc>
              <w:tc>
                <w:tcPr>
                  <w:tcW w:w="7263" w:type="dxa"/>
                </w:tcPr>
                <w:p w:rsidR="005C24D5" w:rsidRPr="0032617D" w:rsidRDefault="005C24D5" w:rsidP="005C24D5">
                  <w:pPr>
                    <w:tabs>
                      <w:tab w:val="left" w:pos="397"/>
                      <w:tab w:val="left" w:pos="9000"/>
                      <w:tab w:val="left" w:pos="9575"/>
                    </w:tabs>
                    <w:spacing w:before="120"/>
                    <w:jc w:val="center"/>
                    <w:rPr>
                      <w:b/>
                      <w:sz w:val="22"/>
                      <w:szCs w:val="22"/>
                    </w:rPr>
                  </w:pPr>
                </w:p>
              </w:tc>
            </w:tr>
            <w:tr w:rsidR="005C24D5" w:rsidRPr="00364CE0" w:rsidTr="00BB195D">
              <w:tc>
                <w:tcPr>
                  <w:tcW w:w="3085" w:type="dxa"/>
                </w:tcPr>
                <w:p w:rsidR="005C24D5" w:rsidRPr="00FA20F5" w:rsidRDefault="005C24D5" w:rsidP="005C24D5">
                  <w:pPr>
                    <w:jc w:val="both"/>
                    <w:rPr>
                      <w:rFonts w:eastAsia="Calibri"/>
                      <w:b/>
                      <w:bCs/>
                      <w:sz w:val="22"/>
                      <w:szCs w:val="22"/>
                    </w:rPr>
                  </w:pPr>
                  <w:r w:rsidRPr="00FA20F5">
                    <w:rPr>
                      <w:rFonts w:eastAsia="Calibri"/>
                      <w:sz w:val="22"/>
                      <w:szCs w:val="22"/>
                    </w:rPr>
                    <w:t>Iveta</w:t>
                  </w:r>
                  <w:r w:rsidRPr="00FA20F5">
                    <w:rPr>
                      <w:rFonts w:eastAsia="Calibri"/>
                      <w:bCs/>
                      <w:sz w:val="22"/>
                      <w:szCs w:val="22"/>
                    </w:rPr>
                    <w:t xml:space="preserve"> Putniņa</w:t>
                  </w:r>
                </w:p>
              </w:tc>
              <w:tc>
                <w:tcPr>
                  <w:tcW w:w="7263" w:type="dxa"/>
                </w:tcPr>
                <w:p w:rsidR="005C24D5" w:rsidRPr="00FA20F5" w:rsidRDefault="005C24D5" w:rsidP="005C24D5">
                  <w:pPr>
                    <w:spacing w:line="276" w:lineRule="auto"/>
                    <w:rPr>
                      <w:rFonts w:eastAsia="Calibri"/>
                      <w:b/>
                      <w:sz w:val="22"/>
                      <w:szCs w:val="22"/>
                    </w:rPr>
                  </w:pPr>
                  <w:r w:rsidRPr="00FA20F5">
                    <w:rPr>
                      <w:rFonts w:eastAsia="Calibri"/>
                      <w:bCs/>
                      <w:sz w:val="22"/>
                      <w:szCs w:val="22"/>
                    </w:rPr>
                    <w:t>Infrastruktūras attīstības departamenta projektu vadītāja</w:t>
                  </w:r>
                </w:p>
              </w:tc>
            </w:tr>
            <w:tr w:rsidR="005C24D5" w:rsidRPr="00364CE0" w:rsidTr="00BB195D">
              <w:tc>
                <w:tcPr>
                  <w:tcW w:w="3085" w:type="dxa"/>
                </w:tcPr>
                <w:p w:rsidR="005C24D5" w:rsidRPr="00FA20F5" w:rsidRDefault="005C24D5" w:rsidP="005C24D5">
                  <w:pPr>
                    <w:jc w:val="both"/>
                    <w:rPr>
                      <w:rFonts w:eastAsia="Calibri"/>
                      <w:b/>
                      <w:bCs/>
                      <w:sz w:val="22"/>
                      <w:szCs w:val="22"/>
                    </w:rPr>
                  </w:pPr>
                  <w:r w:rsidRPr="00FA20F5">
                    <w:rPr>
                      <w:rFonts w:eastAsia="Calibri"/>
                      <w:bCs/>
                      <w:sz w:val="22"/>
                      <w:szCs w:val="22"/>
                    </w:rPr>
                    <w:t>Rigonda Germova</w:t>
                  </w:r>
                </w:p>
              </w:tc>
              <w:tc>
                <w:tcPr>
                  <w:tcW w:w="7263" w:type="dxa"/>
                </w:tcPr>
                <w:p w:rsidR="005C24D5" w:rsidRPr="00FA20F5" w:rsidRDefault="005C24D5" w:rsidP="005C24D5">
                  <w:pPr>
                    <w:spacing w:line="276" w:lineRule="auto"/>
                    <w:rPr>
                      <w:rFonts w:eastAsia="Calibri"/>
                      <w:b/>
                      <w:bCs/>
                      <w:sz w:val="22"/>
                      <w:szCs w:val="22"/>
                    </w:rPr>
                  </w:pPr>
                  <w:r w:rsidRPr="00FA20F5">
                    <w:rPr>
                      <w:rFonts w:eastAsia="Calibri"/>
                      <w:bCs/>
                      <w:sz w:val="22"/>
                      <w:szCs w:val="22"/>
                    </w:rPr>
                    <w:t>Infrastruktūras attīstības departamenta projektu vadītāja</w:t>
                  </w:r>
                </w:p>
              </w:tc>
            </w:tr>
            <w:tr w:rsidR="005C24D5" w:rsidRPr="00364CE0" w:rsidTr="00BB195D">
              <w:tc>
                <w:tcPr>
                  <w:tcW w:w="3085" w:type="dxa"/>
                </w:tcPr>
                <w:p w:rsidR="005C24D5" w:rsidRDefault="005C24D5" w:rsidP="005C24D5">
                  <w:pPr>
                    <w:jc w:val="both"/>
                    <w:rPr>
                      <w:rFonts w:eastAsia="Calibri"/>
                      <w:bCs/>
                      <w:sz w:val="22"/>
                      <w:szCs w:val="22"/>
                    </w:rPr>
                  </w:pPr>
                  <w:r w:rsidRPr="00FA20F5">
                    <w:rPr>
                      <w:rFonts w:eastAsia="Calibri"/>
                      <w:bCs/>
                      <w:sz w:val="22"/>
                      <w:szCs w:val="22"/>
                    </w:rPr>
                    <w:t>Jānis Ieviņš</w:t>
                  </w:r>
                </w:p>
                <w:p w:rsidR="005C24D5" w:rsidRPr="00FA20F5" w:rsidRDefault="005C24D5" w:rsidP="005C24D5">
                  <w:pPr>
                    <w:jc w:val="both"/>
                    <w:rPr>
                      <w:rFonts w:eastAsia="Calibri"/>
                      <w:b/>
                      <w:bCs/>
                      <w:sz w:val="22"/>
                      <w:szCs w:val="22"/>
                    </w:rPr>
                  </w:pPr>
                  <w:r>
                    <w:rPr>
                      <w:rFonts w:eastAsia="Calibri"/>
                      <w:bCs/>
                      <w:sz w:val="22"/>
                      <w:szCs w:val="22"/>
                    </w:rPr>
                    <w:t>Pēteris Orlovskis</w:t>
                  </w:r>
                </w:p>
              </w:tc>
              <w:tc>
                <w:tcPr>
                  <w:tcW w:w="7263" w:type="dxa"/>
                </w:tcPr>
                <w:p w:rsidR="005C24D5" w:rsidRDefault="005C24D5" w:rsidP="005C24D5">
                  <w:pPr>
                    <w:spacing w:line="276" w:lineRule="auto"/>
                    <w:rPr>
                      <w:rFonts w:eastAsia="Calibri"/>
                      <w:bCs/>
                      <w:sz w:val="22"/>
                      <w:szCs w:val="22"/>
                    </w:rPr>
                  </w:pPr>
                  <w:r w:rsidRPr="00FA20F5">
                    <w:rPr>
                      <w:rFonts w:eastAsia="Calibri"/>
                      <w:bCs/>
                      <w:sz w:val="22"/>
                      <w:szCs w:val="22"/>
                    </w:rPr>
                    <w:t>Infrastruktūras attīstības departamenta projektu vadītājs</w:t>
                  </w:r>
                </w:p>
                <w:p w:rsidR="005C24D5" w:rsidRPr="00FA20F5" w:rsidRDefault="005C24D5" w:rsidP="005C24D5">
                  <w:pPr>
                    <w:spacing w:line="276" w:lineRule="auto"/>
                    <w:rPr>
                      <w:rFonts w:eastAsia="Calibri"/>
                      <w:b/>
                      <w:bCs/>
                      <w:sz w:val="22"/>
                      <w:szCs w:val="22"/>
                    </w:rPr>
                  </w:pPr>
                  <w:r>
                    <w:rPr>
                      <w:rFonts w:eastAsia="Calibri"/>
                      <w:bCs/>
                      <w:sz w:val="22"/>
                      <w:szCs w:val="22"/>
                    </w:rPr>
                    <w:t>Saimniecības departamenta direktora vietnieks</w:t>
                  </w:r>
                </w:p>
              </w:tc>
            </w:tr>
          </w:tbl>
          <w:p w:rsidR="005C24D5" w:rsidRDefault="005C24D5" w:rsidP="005C24D5">
            <w:pPr>
              <w:jc w:val="both"/>
              <w:rPr>
                <w:sz w:val="22"/>
                <w:szCs w:val="22"/>
                <w:lang w:val="lv-LV"/>
              </w:rPr>
            </w:pPr>
          </w:p>
          <w:p w:rsidR="005C24D5" w:rsidRDefault="005C24D5" w:rsidP="005C24D5">
            <w:pPr>
              <w:jc w:val="both"/>
              <w:rPr>
                <w:sz w:val="22"/>
                <w:szCs w:val="22"/>
                <w:lang w:val="lv-LV"/>
              </w:rPr>
            </w:pPr>
            <w:r w:rsidRPr="00270D5A">
              <w:rPr>
                <w:sz w:val="22"/>
                <w:szCs w:val="22"/>
                <w:lang w:val="lv-LV"/>
              </w:rPr>
              <w:t xml:space="preserve">Komisija izveidota ar RTU </w:t>
            </w:r>
            <w:r>
              <w:rPr>
                <w:sz w:val="22"/>
                <w:szCs w:val="22"/>
                <w:lang w:val="lv-LV"/>
              </w:rPr>
              <w:t>finanšu pro</w:t>
            </w:r>
            <w:r w:rsidRPr="00270D5A">
              <w:rPr>
                <w:sz w:val="22"/>
                <w:szCs w:val="22"/>
                <w:lang w:val="lv-LV"/>
              </w:rPr>
              <w:t xml:space="preserve">rektora </w:t>
            </w:r>
            <w:r>
              <w:rPr>
                <w:sz w:val="22"/>
                <w:szCs w:val="22"/>
                <w:lang w:val="lv-LV"/>
              </w:rPr>
              <w:t>25.10.2016. rīkojumu</w:t>
            </w:r>
            <w:r w:rsidRPr="00FA20F5">
              <w:rPr>
                <w:sz w:val="22"/>
                <w:szCs w:val="22"/>
                <w:lang w:val="lv-LV"/>
              </w:rPr>
              <w:t xml:space="preserve"> Nr. 03000-1.2/1</w:t>
            </w:r>
            <w:r>
              <w:rPr>
                <w:sz w:val="22"/>
                <w:szCs w:val="22"/>
                <w:lang w:val="lv-LV"/>
              </w:rPr>
              <w:t>22.</w:t>
            </w:r>
            <w:r>
              <w:rPr>
                <w:sz w:val="22"/>
                <w:szCs w:val="22"/>
                <w:lang w:val="lv-LV"/>
              </w:rPr>
              <w:t xml:space="preserve"> </w:t>
            </w:r>
          </w:p>
          <w:p w:rsidR="005C24D5" w:rsidRDefault="005C24D5" w:rsidP="005C24D5">
            <w:pPr>
              <w:jc w:val="both"/>
              <w:rPr>
                <w:sz w:val="22"/>
                <w:szCs w:val="22"/>
                <w:lang w:val="lv-LV"/>
              </w:rPr>
            </w:pPr>
            <w:r>
              <w:rPr>
                <w:sz w:val="22"/>
                <w:szCs w:val="22"/>
                <w:lang w:val="lv-LV"/>
              </w:rPr>
              <w:t>Sēdi vada un protokolē J. Gramsts.</w:t>
            </w:r>
          </w:p>
          <w:p w:rsidR="005C24D5" w:rsidRPr="005400EE" w:rsidRDefault="005C24D5" w:rsidP="005C24D5">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CA4AC5" w:rsidRPr="00DF738E" w:rsidRDefault="00CA4AC5" w:rsidP="00CA4AC5">
            <w:pPr>
              <w:pStyle w:val="ListParagraph"/>
              <w:ind w:left="1080"/>
              <w:jc w:val="both"/>
              <w:rPr>
                <w:sz w:val="22"/>
                <w:szCs w:val="22"/>
                <w:lang w:val="lv-LV"/>
              </w:rPr>
            </w:pPr>
          </w:p>
          <w:p w:rsidR="00CA4AC5" w:rsidRDefault="00CA4AC5" w:rsidP="00CA4AC5">
            <w:pPr>
              <w:pStyle w:val="ListParagraph"/>
              <w:numPr>
                <w:ilvl w:val="1"/>
                <w:numId w:val="33"/>
              </w:numPr>
              <w:jc w:val="both"/>
              <w:rPr>
                <w:sz w:val="22"/>
                <w:szCs w:val="22"/>
                <w:lang w:val="lv-LV"/>
              </w:rPr>
            </w:pPr>
            <w:r w:rsidRPr="00F4006D">
              <w:rPr>
                <w:sz w:val="22"/>
                <w:szCs w:val="22"/>
                <w:lang w:val="lv-LV"/>
              </w:rPr>
              <w:t>Komisijas priekšsēdētājs J.</w:t>
            </w:r>
            <w:r>
              <w:rPr>
                <w:sz w:val="22"/>
                <w:szCs w:val="22"/>
                <w:lang w:val="lv-LV"/>
              </w:rPr>
              <w:t xml:space="preserve"> </w:t>
            </w:r>
            <w:r w:rsidRPr="00F4006D">
              <w:rPr>
                <w:sz w:val="22"/>
                <w:szCs w:val="22"/>
                <w:lang w:val="lv-LV"/>
              </w:rPr>
              <w:t xml:space="preserve">Gramsts informē, ka </w:t>
            </w:r>
            <w:r w:rsidR="005C24D5">
              <w:rPr>
                <w:sz w:val="22"/>
                <w:szCs w:val="22"/>
                <w:lang w:val="lv-LV"/>
              </w:rPr>
              <w:t>27</w:t>
            </w:r>
            <w:r>
              <w:rPr>
                <w:sz w:val="22"/>
                <w:szCs w:val="22"/>
                <w:lang w:val="lv-LV"/>
              </w:rPr>
              <w:t>.02.2018.</w:t>
            </w:r>
            <w:r w:rsidR="005C24D5">
              <w:rPr>
                <w:sz w:val="22"/>
                <w:szCs w:val="22"/>
                <w:lang w:val="lv-LV"/>
              </w:rPr>
              <w:t xml:space="preserve"> un 28.02.2018.</w:t>
            </w:r>
            <w:r>
              <w:rPr>
                <w:sz w:val="22"/>
                <w:szCs w:val="22"/>
                <w:lang w:val="lv-LV"/>
              </w:rPr>
              <w:t xml:space="preserve"> ir saņemti</w:t>
            </w:r>
            <w:r w:rsidRPr="00F4006D">
              <w:rPr>
                <w:sz w:val="22"/>
                <w:szCs w:val="22"/>
                <w:lang w:val="lv-LV"/>
              </w:rPr>
              <w:t xml:space="preserve"> </w:t>
            </w:r>
            <w:r w:rsidR="005C24D5">
              <w:rPr>
                <w:sz w:val="22"/>
                <w:szCs w:val="22"/>
                <w:lang w:val="lv-LV"/>
              </w:rPr>
              <w:t>jautājumi no potenciālajiem piegādātājiem</w:t>
            </w:r>
            <w:r>
              <w:rPr>
                <w:sz w:val="22"/>
                <w:szCs w:val="22"/>
                <w:lang w:val="lv-LV"/>
              </w:rPr>
              <w:t xml:space="preserve"> par konkursa nolikumu.</w:t>
            </w:r>
          </w:p>
          <w:p w:rsidR="00CA4AC5" w:rsidRDefault="00CA4AC5" w:rsidP="00CA4AC5">
            <w:pPr>
              <w:pStyle w:val="ListParagraph"/>
              <w:numPr>
                <w:ilvl w:val="1"/>
                <w:numId w:val="33"/>
              </w:numPr>
              <w:jc w:val="both"/>
              <w:rPr>
                <w:sz w:val="22"/>
                <w:szCs w:val="22"/>
                <w:lang w:val="lv-LV"/>
              </w:rPr>
            </w:pPr>
            <w:r>
              <w:rPr>
                <w:sz w:val="22"/>
                <w:szCs w:val="22"/>
                <w:lang w:val="lv-LV"/>
              </w:rPr>
              <w:t xml:space="preserve">Iepirkuma komisijas locekļi iepazīstas ar saņemtajiem jautājumiem, apspriež atbilžu projektu un nolemj sniegt šādas atbildes </w:t>
            </w:r>
            <w:r w:rsidRPr="00CA4AC5">
              <w:rPr>
                <w:b/>
                <w:sz w:val="22"/>
                <w:szCs w:val="22"/>
                <w:lang w:val="lv-LV"/>
              </w:rPr>
              <w:t>Nr.1</w:t>
            </w:r>
            <w:r>
              <w:rPr>
                <w:sz w:val="22"/>
                <w:szCs w:val="22"/>
                <w:lang w:val="lv-LV"/>
              </w:rPr>
              <w:t>:</w:t>
            </w:r>
          </w:p>
          <w:p w:rsidR="005C24D5" w:rsidRDefault="005C24D5" w:rsidP="00CA4AC5">
            <w:pPr>
              <w:spacing w:line="276" w:lineRule="auto"/>
              <w:jc w:val="both"/>
              <w:rPr>
                <w:b/>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Nr.1</w:t>
            </w:r>
          </w:p>
          <w:p w:rsidR="005C24D5" w:rsidRPr="005C24D5" w:rsidRDefault="005C24D5" w:rsidP="005C24D5">
            <w:pPr>
              <w:spacing w:line="276" w:lineRule="auto"/>
              <w:jc w:val="both"/>
              <w:rPr>
                <w:sz w:val="22"/>
                <w:szCs w:val="22"/>
                <w:lang w:val="lv-LV"/>
              </w:rPr>
            </w:pPr>
            <w:r w:rsidRPr="005C24D5">
              <w:rPr>
                <w:sz w:val="22"/>
                <w:szCs w:val="22"/>
                <w:lang w:val="lv-LV"/>
              </w:rPr>
              <w:t>Saskaņā ar atklāta konkurs</w:t>
            </w:r>
            <w:r w:rsidR="002C2A04">
              <w:rPr>
                <w:sz w:val="22"/>
                <w:szCs w:val="22"/>
                <w:lang w:val="lv-LV"/>
              </w:rPr>
              <w:t>a ID RTU-2017/109 nolikuma tehn</w:t>
            </w:r>
            <w:r w:rsidRPr="005C24D5">
              <w:rPr>
                <w:sz w:val="22"/>
                <w:szCs w:val="22"/>
                <w:lang w:val="lv-LV"/>
              </w:rPr>
              <w:t>i</w:t>
            </w:r>
            <w:r w:rsidR="002C2A04">
              <w:rPr>
                <w:sz w:val="22"/>
                <w:szCs w:val="22"/>
                <w:lang w:val="lv-LV"/>
              </w:rPr>
              <w:t>s</w:t>
            </w:r>
            <w:bookmarkStart w:id="0" w:name="_GoBack"/>
            <w:bookmarkEnd w:id="0"/>
            <w:r w:rsidRPr="005C24D5">
              <w:rPr>
                <w:sz w:val="22"/>
                <w:szCs w:val="22"/>
                <w:lang w:val="lv-LV"/>
              </w:rPr>
              <w:t xml:space="preserve">kās specifikācijas nosacījumiem “Uzraugam jāveic šādu projekta daļu izvērtēšanu:  Projektēšanas uzdevums (Pasūtītāja prasības); Izpētes un cita pirms projektēšanas dokumentācija; Principiālie risinājumi par ... projekta sadaļām”, kā arī “Uzrauga paraksts uz rasējumiem un dokumentiem nozīmē apstiprinājumu tajos ietvertās informācijas atbilstībai Pasūtītāja vēlmēm, prasībām un saistošajiem normatīvajiem aktiem”. </w:t>
            </w:r>
          </w:p>
          <w:p w:rsidR="005C24D5" w:rsidRDefault="005C24D5" w:rsidP="005C24D5">
            <w:pPr>
              <w:spacing w:line="276" w:lineRule="auto"/>
              <w:jc w:val="both"/>
              <w:rPr>
                <w:sz w:val="22"/>
                <w:szCs w:val="22"/>
                <w:lang w:val="lv-LV"/>
              </w:rPr>
            </w:pPr>
            <w:r w:rsidRPr="005C24D5">
              <w:rPr>
                <w:sz w:val="22"/>
                <w:szCs w:val="22"/>
                <w:lang w:val="lv-LV"/>
              </w:rPr>
              <w:t>Vai šis darba uzdevuma nosacījums nozīmē, ka projektēšanas uzraugam ir jāsniedz būvprojekta ekspertīzes atzinums par attiecīgajām būvprojekta sadaļām un to risinājumiem?</w:t>
            </w:r>
          </w:p>
          <w:p w:rsidR="00CA4AC5" w:rsidRPr="00CA4AC5" w:rsidRDefault="00CA4AC5" w:rsidP="005C24D5">
            <w:pPr>
              <w:spacing w:line="276" w:lineRule="auto"/>
              <w:jc w:val="both"/>
              <w:rPr>
                <w:b/>
                <w:sz w:val="22"/>
                <w:szCs w:val="22"/>
                <w:lang w:val="lv-LV"/>
              </w:rPr>
            </w:pPr>
            <w:r w:rsidRPr="00CA4AC5">
              <w:rPr>
                <w:b/>
                <w:sz w:val="22"/>
                <w:szCs w:val="22"/>
                <w:lang w:val="lv-LV"/>
              </w:rPr>
              <w:t>Atbilde Nr.1</w:t>
            </w:r>
          </w:p>
          <w:p w:rsidR="005C24D5" w:rsidRDefault="005C24D5" w:rsidP="00CA4AC5">
            <w:pPr>
              <w:spacing w:line="276" w:lineRule="auto"/>
              <w:jc w:val="both"/>
              <w:rPr>
                <w:sz w:val="22"/>
                <w:szCs w:val="22"/>
                <w:lang w:val="lv-LV"/>
              </w:rPr>
            </w:pPr>
            <w:r w:rsidRPr="005C24D5">
              <w:rPr>
                <w:sz w:val="22"/>
                <w:szCs w:val="22"/>
                <w:lang w:val="lv-LV"/>
              </w:rPr>
              <w:t xml:space="preserve">Projektēšanas uzraugam jāsniedz savs </w:t>
            </w:r>
            <w:r w:rsidRPr="002C2A04">
              <w:rPr>
                <w:sz w:val="22"/>
                <w:szCs w:val="22"/>
                <w:u w:val="single"/>
                <w:lang w:val="lv-LV"/>
              </w:rPr>
              <w:t>atzinums</w:t>
            </w:r>
            <w:r w:rsidRPr="005C24D5">
              <w:rPr>
                <w:sz w:val="22"/>
                <w:szCs w:val="22"/>
                <w:lang w:val="lv-LV"/>
              </w:rPr>
              <w:t xml:space="preserve"> par attiecīgajām būvprojekta sadaļām un to risinājumiem.</w:t>
            </w:r>
            <w:r w:rsidR="002C2A04">
              <w:rPr>
                <w:sz w:val="22"/>
                <w:szCs w:val="22"/>
                <w:lang w:val="lv-LV"/>
              </w:rPr>
              <w:t xml:space="preserve"> Būvprojekta ekspertīzes pakalpojumi nav šī konkursa iepirkuma priekšmets.</w:t>
            </w:r>
          </w:p>
          <w:p w:rsidR="00CA4AC5" w:rsidRPr="00CA4AC5" w:rsidRDefault="00CA4AC5" w:rsidP="00CA4AC5">
            <w:pPr>
              <w:spacing w:line="276" w:lineRule="auto"/>
              <w:jc w:val="both"/>
              <w:rPr>
                <w:b/>
                <w:sz w:val="22"/>
                <w:szCs w:val="22"/>
                <w:lang w:val="lv-LV"/>
              </w:rPr>
            </w:pPr>
            <w:r w:rsidRPr="00CA4AC5">
              <w:rPr>
                <w:b/>
                <w:sz w:val="22"/>
                <w:szCs w:val="22"/>
                <w:lang w:val="lv-LV"/>
              </w:rPr>
              <w:t>Jautājums Nr.2</w:t>
            </w:r>
          </w:p>
          <w:p w:rsidR="005C24D5" w:rsidRPr="005C24D5" w:rsidRDefault="005C24D5" w:rsidP="005C24D5">
            <w:pPr>
              <w:spacing w:line="276" w:lineRule="auto"/>
              <w:jc w:val="both"/>
              <w:rPr>
                <w:sz w:val="22"/>
                <w:szCs w:val="22"/>
                <w:lang w:val="lv-LV"/>
              </w:rPr>
            </w:pPr>
            <w:r w:rsidRPr="005C24D5">
              <w:rPr>
                <w:sz w:val="22"/>
                <w:szCs w:val="22"/>
                <w:lang w:val="lv-LV"/>
              </w:rPr>
              <w:t>Saskaņā ar atklāta konkursa</w:t>
            </w:r>
            <w:r>
              <w:rPr>
                <w:sz w:val="22"/>
                <w:szCs w:val="22"/>
                <w:lang w:val="lv-LV"/>
              </w:rPr>
              <w:t xml:space="preserve"> ID RTU-2017/109 nolikuma tehnis</w:t>
            </w:r>
            <w:r w:rsidRPr="005C24D5">
              <w:rPr>
                <w:sz w:val="22"/>
                <w:szCs w:val="22"/>
                <w:lang w:val="lv-LV"/>
              </w:rPr>
              <w:t>kās specifikācijas nosacījumiem uzraugam ir “. Izvērtēt  pielietoto materiālu, iekārtu cenu (sniegt cenu salīdzinājumus), darba algu, mehānismu, pieskaitāmo izmaksu atbilstību pašreizējām – 2018. gada Latvijas tirgus cenām, būvdarbu apjomu sarakstu un materiālu specifikāciju atbilstību būvprojekta rasējumiem.”.</w:t>
            </w:r>
          </w:p>
          <w:p w:rsidR="005C24D5" w:rsidRDefault="005C24D5" w:rsidP="005C24D5">
            <w:pPr>
              <w:spacing w:line="276" w:lineRule="auto"/>
              <w:jc w:val="both"/>
              <w:rPr>
                <w:sz w:val="22"/>
                <w:szCs w:val="22"/>
                <w:lang w:val="lv-LV"/>
              </w:rPr>
            </w:pPr>
            <w:r w:rsidRPr="005C24D5">
              <w:rPr>
                <w:sz w:val="22"/>
                <w:szCs w:val="22"/>
                <w:lang w:val="lv-LV"/>
              </w:rPr>
              <w:lastRenderedPageBreak/>
              <w:t>Ar ko Uzraugam ir jāsalīdzina pielietoto materiālu un iekārtu cenas, kādā formā ir jāsagatavo attiecīgā informācija?</w:t>
            </w:r>
          </w:p>
          <w:p w:rsidR="00CA4AC5" w:rsidRPr="00CA4AC5" w:rsidRDefault="00CA4AC5" w:rsidP="005C24D5">
            <w:pPr>
              <w:spacing w:line="276" w:lineRule="auto"/>
              <w:jc w:val="both"/>
              <w:rPr>
                <w:b/>
                <w:sz w:val="22"/>
                <w:szCs w:val="22"/>
                <w:lang w:val="lv-LV"/>
              </w:rPr>
            </w:pPr>
            <w:r w:rsidRPr="00CA4AC5">
              <w:rPr>
                <w:b/>
                <w:sz w:val="22"/>
                <w:szCs w:val="22"/>
                <w:lang w:val="lv-LV"/>
              </w:rPr>
              <w:t>Atbilde Nr.2</w:t>
            </w:r>
          </w:p>
          <w:p w:rsidR="005C24D5" w:rsidRDefault="005C24D5" w:rsidP="00CA4AC5">
            <w:pPr>
              <w:spacing w:line="276" w:lineRule="auto"/>
              <w:jc w:val="both"/>
              <w:rPr>
                <w:sz w:val="22"/>
                <w:szCs w:val="22"/>
                <w:lang w:val="lv-LV"/>
              </w:rPr>
            </w:pPr>
            <w:r w:rsidRPr="005C24D5">
              <w:rPr>
                <w:sz w:val="22"/>
                <w:szCs w:val="22"/>
                <w:lang w:val="lv-LV"/>
              </w:rPr>
              <w:t xml:space="preserve">Uzraugam ir jāsalīdzina </w:t>
            </w:r>
            <w:r>
              <w:rPr>
                <w:sz w:val="22"/>
                <w:szCs w:val="22"/>
                <w:lang w:val="lv-LV"/>
              </w:rPr>
              <w:t xml:space="preserve">Būvprojekta  </w:t>
            </w:r>
            <w:r w:rsidRPr="005C24D5">
              <w:rPr>
                <w:sz w:val="22"/>
                <w:szCs w:val="22"/>
                <w:lang w:val="lv-LV"/>
              </w:rPr>
              <w:t>izstrādātajā Būvprojektā tāmju komplekts (Būvprojekta tāme – būvdarbu tāme) pielietoto materiālu un iekārtu cenas</w:t>
            </w:r>
            <w:r>
              <w:rPr>
                <w:sz w:val="22"/>
                <w:szCs w:val="22"/>
                <w:lang w:val="lv-LV"/>
              </w:rPr>
              <w:t xml:space="preserve"> atbilstību pašreizējām - 2018.</w:t>
            </w:r>
            <w:r w:rsidRPr="005C24D5">
              <w:rPr>
                <w:sz w:val="22"/>
                <w:szCs w:val="22"/>
                <w:lang w:val="lv-LV"/>
              </w:rPr>
              <w:t>gada Latvijas tirgus cenām (piem. aptaujājot materiālu, iekārtu tirgotājus). Attiecīgo informāciju jāsagatavo lokālo tāmju formā</w:t>
            </w:r>
            <w:r>
              <w:rPr>
                <w:sz w:val="22"/>
                <w:szCs w:val="22"/>
                <w:lang w:val="lv-LV"/>
              </w:rPr>
              <w:t>.</w:t>
            </w:r>
          </w:p>
          <w:p w:rsidR="00CA4AC5" w:rsidRPr="00CA4AC5" w:rsidRDefault="00CA4AC5" w:rsidP="00CA4AC5">
            <w:pPr>
              <w:spacing w:line="276" w:lineRule="auto"/>
              <w:jc w:val="both"/>
              <w:rPr>
                <w:b/>
                <w:sz w:val="22"/>
                <w:szCs w:val="22"/>
                <w:lang w:val="lv-LV"/>
              </w:rPr>
            </w:pPr>
            <w:r w:rsidRPr="00CA4AC5">
              <w:rPr>
                <w:b/>
                <w:sz w:val="22"/>
                <w:szCs w:val="22"/>
                <w:lang w:val="lv-LV"/>
              </w:rPr>
              <w:t>Jautājums Nr.3</w:t>
            </w:r>
          </w:p>
          <w:p w:rsidR="005C24D5" w:rsidRDefault="005C24D5" w:rsidP="00CA4AC5">
            <w:pPr>
              <w:spacing w:line="276" w:lineRule="auto"/>
              <w:jc w:val="both"/>
              <w:rPr>
                <w:sz w:val="22"/>
                <w:szCs w:val="22"/>
                <w:lang w:val="lv-LV"/>
              </w:rPr>
            </w:pPr>
            <w:r w:rsidRPr="005C24D5">
              <w:rPr>
                <w:sz w:val="22"/>
                <w:szCs w:val="22"/>
                <w:lang w:val="lv-LV"/>
              </w:rPr>
              <w:t>Atklāta konkursa ID RTU – 2017/109 nolikuma tehniskajā specifikācijā nav norādīta Uzrauga minimālā noslodze projektēšanas uzraudzības darbu laikā. Lūdzu norādīt minimālo Uzrauga noslodzi projektēšanas stadijā objektīva finanšu piedāvājuma sagatavošanai.</w:t>
            </w:r>
          </w:p>
          <w:p w:rsidR="00CA4AC5" w:rsidRPr="00CA4AC5" w:rsidRDefault="00CA4AC5" w:rsidP="00CA4AC5">
            <w:pPr>
              <w:spacing w:line="276" w:lineRule="auto"/>
              <w:jc w:val="both"/>
              <w:rPr>
                <w:b/>
                <w:sz w:val="22"/>
                <w:szCs w:val="22"/>
                <w:lang w:val="lv-LV"/>
              </w:rPr>
            </w:pPr>
            <w:r w:rsidRPr="00CA4AC5">
              <w:rPr>
                <w:b/>
                <w:sz w:val="22"/>
                <w:szCs w:val="22"/>
                <w:lang w:val="lv-LV"/>
              </w:rPr>
              <w:t>Atbilde Nr.3</w:t>
            </w:r>
          </w:p>
          <w:p w:rsidR="002C2A04" w:rsidRDefault="005C24D5" w:rsidP="00CA4AC5">
            <w:pPr>
              <w:spacing w:line="276" w:lineRule="auto"/>
              <w:jc w:val="both"/>
              <w:rPr>
                <w:sz w:val="22"/>
                <w:szCs w:val="22"/>
                <w:lang w:val="lv-LV"/>
              </w:rPr>
            </w:pPr>
            <w:r w:rsidRPr="005C24D5">
              <w:rPr>
                <w:sz w:val="22"/>
                <w:szCs w:val="22"/>
                <w:lang w:val="lv-LV"/>
              </w:rPr>
              <w:t>Projektēšanas stadijā Uzraugam pašam jāizvērtē minimālā</w:t>
            </w:r>
            <w:r>
              <w:rPr>
                <w:sz w:val="22"/>
                <w:szCs w:val="22"/>
                <w:lang w:val="lv-LV"/>
              </w:rPr>
              <w:t xml:space="preserve"> noslodze atbilstoši Tehniskajā</w:t>
            </w:r>
            <w:r w:rsidRPr="005C24D5">
              <w:rPr>
                <w:sz w:val="22"/>
                <w:szCs w:val="22"/>
                <w:lang w:val="lv-LV"/>
              </w:rPr>
              <w:t xml:space="preserve"> specifikācijā minētam darbu apjomam, </w:t>
            </w:r>
            <w:r>
              <w:rPr>
                <w:sz w:val="22"/>
                <w:szCs w:val="22"/>
                <w:lang w:val="lv-LV"/>
              </w:rPr>
              <w:t>jo noslodze mainās -</w:t>
            </w:r>
            <w:r w:rsidRPr="005C24D5">
              <w:rPr>
                <w:sz w:val="22"/>
                <w:szCs w:val="22"/>
                <w:lang w:val="lv-LV"/>
              </w:rPr>
              <w:t xml:space="preserve"> projektēšanas sākuma posmā tā ir neliela, </w:t>
            </w:r>
            <w:r w:rsidR="002C2A04">
              <w:rPr>
                <w:sz w:val="22"/>
                <w:szCs w:val="22"/>
                <w:lang w:val="lv-LV"/>
              </w:rPr>
              <w:t xml:space="preserve">tad </w:t>
            </w:r>
            <w:r w:rsidRPr="005C24D5">
              <w:rPr>
                <w:sz w:val="22"/>
                <w:szCs w:val="22"/>
                <w:lang w:val="lv-LV"/>
              </w:rPr>
              <w:t>tā pieaug ar katru projektēšanas mēnesi.</w:t>
            </w:r>
          </w:p>
          <w:p w:rsidR="00CA4AC5" w:rsidRPr="00CA4AC5" w:rsidRDefault="00CA4AC5" w:rsidP="00CA4AC5">
            <w:pPr>
              <w:spacing w:line="276" w:lineRule="auto"/>
              <w:jc w:val="both"/>
              <w:rPr>
                <w:b/>
                <w:sz w:val="22"/>
                <w:szCs w:val="22"/>
                <w:lang w:val="lv-LV"/>
              </w:rPr>
            </w:pPr>
            <w:r w:rsidRPr="00CA4AC5">
              <w:rPr>
                <w:b/>
                <w:sz w:val="22"/>
                <w:szCs w:val="22"/>
                <w:lang w:val="lv-LV"/>
              </w:rPr>
              <w:t>Jautājums Nr.4</w:t>
            </w:r>
          </w:p>
          <w:p w:rsidR="002C2A04" w:rsidRDefault="002C2A04" w:rsidP="00CA4AC5">
            <w:pPr>
              <w:spacing w:line="276" w:lineRule="auto"/>
              <w:jc w:val="both"/>
              <w:rPr>
                <w:sz w:val="22"/>
                <w:szCs w:val="22"/>
                <w:lang w:val="lv-LV"/>
              </w:rPr>
            </w:pPr>
            <w:r w:rsidRPr="002C2A04">
              <w:rPr>
                <w:sz w:val="22"/>
                <w:szCs w:val="22"/>
                <w:lang w:val="lv-LV"/>
              </w:rPr>
              <w:t>Nolikuma 4.1.6.punktā tiek prasīta pretendenta pieredze publiskās ēkās, kuras klasificētas ar kodiem: 121 kods – Viesnīcas un tām līdzīga lietojuma ēkas; 122 kods – Biroju ēkas; 126 kods – Ēkas plašizklaides pasākumiem, izglītības, slimnīcu vai veselības aprūpes iestāžu vajadzībām. Vai par atbilstošām publiskām ēkām tiks uzskatītas arī ēkas ar klasifikācijas kodiem, kas ir prasīto kodu apakškodi, piemēram, 1265 - Sporta ēkas, Sporta telpu grupa; 1263 - Skolas, universitātes un zinātniskajai pētniecībai paredzētās ēkas, Izglītības iestāžu telpu grupa</w:t>
            </w:r>
            <w:r>
              <w:rPr>
                <w:sz w:val="22"/>
                <w:szCs w:val="22"/>
                <w:lang w:val="lv-LV"/>
              </w:rPr>
              <w:t>.</w:t>
            </w:r>
          </w:p>
          <w:p w:rsidR="00CA4AC5" w:rsidRPr="00CA4AC5" w:rsidRDefault="00CA4AC5" w:rsidP="00CA4AC5">
            <w:pPr>
              <w:spacing w:line="276" w:lineRule="auto"/>
              <w:jc w:val="both"/>
              <w:rPr>
                <w:b/>
                <w:sz w:val="22"/>
                <w:szCs w:val="22"/>
                <w:lang w:val="lv-LV"/>
              </w:rPr>
            </w:pPr>
            <w:r w:rsidRPr="00CA4AC5">
              <w:rPr>
                <w:b/>
                <w:sz w:val="22"/>
                <w:szCs w:val="22"/>
                <w:lang w:val="lv-LV"/>
              </w:rPr>
              <w:t>Atbilde Nr.4</w:t>
            </w:r>
          </w:p>
          <w:p w:rsidR="00F00C85" w:rsidRPr="005400EE" w:rsidRDefault="002C2A04" w:rsidP="00CA4AC5">
            <w:pPr>
              <w:spacing w:line="276" w:lineRule="auto"/>
              <w:jc w:val="both"/>
              <w:rPr>
                <w:sz w:val="22"/>
                <w:szCs w:val="22"/>
                <w:lang w:val="lv-LV"/>
              </w:rPr>
            </w:pPr>
            <w:r>
              <w:rPr>
                <w:sz w:val="22"/>
                <w:szCs w:val="22"/>
                <w:lang w:val="lv-LV"/>
              </w:rPr>
              <w:t>Jā, pretendenta pieredze, sniedzot pakalpojumus objektos, kuri atbilst konkursa nolikuma 4.1.6.punktā norādīto ēku klasifikāciju kodu apakškodiem, un kas atbilst citām nolikumā ietvertajām kvalifikācijas prasībām, tiks atzīta par atbilstošu konkursa nolikuma 4.1.6.punktam.</w:t>
            </w:r>
          </w:p>
          <w:p w:rsidR="00F00C85" w:rsidRPr="005400EE" w:rsidRDefault="00F00C85" w:rsidP="00F00C85">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5C24D5">
              <w:rPr>
                <w:sz w:val="22"/>
                <w:szCs w:val="22"/>
                <w:lang w:val="lv-LV"/>
              </w:rPr>
              <w:t xml:space="preserve"> Gramsts plkst. 08</w:t>
            </w:r>
            <w:r w:rsidRPr="005400EE">
              <w:rPr>
                <w:sz w:val="22"/>
                <w:szCs w:val="22"/>
                <w:lang w:val="lv-LV"/>
              </w:rPr>
              <w:t>:</w:t>
            </w:r>
            <w:r w:rsidR="005C24D5">
              <w:rPr>
                <w:sz w:val="22"/>
                <w:szCs w:val="22"/>
                <w:lang w:val="lv-LV"/>
              </w:rPr>
              <w:t>5</w:t>
            </w:r>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Pr="002C2A04" w:rsidRDefault="00CA4AC5" w:rsidP="002C2A04">
            <w:pPr>
              <w:pStyle w:val="ListParagraph"/>
              <w:keepNext/>
              <w:keepLines/>
              <w:numPr>
                <w:ilvl w:val="0"/>
                <w:numId w:val="43"/>
              </w:numPr>
              <w:rPr>
                <w:sz w:val="20"/>
                <w:szCs w:val="20"/>
                <w:lang w:val="lv-LV"/>
              </w:rPr>
            </w:pPr>
            <w:r w:rsidRPr="002C2A04">
              <w:rPr>
                <w:sz w:val="20"/>
                <w:szCs w:val="20"/>
                <w:lang w:val="lv-LV"/>
              </w:rPr>
              <w:t xml:space="preserve">ieinteresētā piegādātāja 2018.gada </w:t>
            </w:r>
            <w:r w:rsidR="002C2A04" w:rsidRPr="002C2A04">
              <w:rPr>
                <w:sz w:val="20"/>
                <w:szCs w:val="20"/>
                <w:lang w:val="lv-LV"/>
              </w:rPr>
              <w:t>27</w:t>
            </w:r>
            <w:r w:rsidRPr="002C2A04">
              <w:rPr>
                <w:sz w:val="20"/>
                <w:szCs w:val="20"/>
                <w:lang w:val="lv-LV"/>
              </w:rPr>
              <w:t xml:space="preserve">.februāra vēstules </w:t>
            </w:r>
            <w:r w:rsidR="002C2A04" w:rsidRPr="002C2A04">
              <w:rPr>
                <w:sz w:val="20"/>
                <w:szCs w:val="20"/>
                <w:lang w:val="lv-LV"/>
              </w:rPr>
              <w:t>kopija</w:t>
            </w:r>
            <w:r w:rsidR="002C2A04">
              <w:rPr>
                <w:sz w:val="20"/>
                <w:szCs w:val="20"/>
                <w:lang w:val="lv-LV"/>
              </w:rPr>
              <w:t>;</w:t>
            </w:r>
          </w:p>
          <w:p w:rsidR="002C2A04" w:rsidRPr="002C2A04" w:rsidRDefault="002C2A04" w:rsidP="002C2A04">
            <w:pPr>
              <w:pStyle w:val="ListParagraph"/>
              <w:keepNext/>
              <w:keepLines/>
              <w:numPr>
                <w:ilvl w:val="0"/>
                <w:numId w:val="43"/>
              </w:numPr>
              <w:rPr>
                <w:sz w:val="20"/>
                <w:szCs w:val="20"/>
                <w:lang w:val="lv-LV"/>
              </w:rPr>
            </w:pPr>
            <w:r w:rsidRPr="002C2A04">
              <w:rPr>
                <w:sz w:val="20"/>
                <w:szCs w:val="20"/>
                <w:lang w:val="lv-LV"/>
              </w:rPr>
              <w:t>ieinteresētā piegādātāja 2018.gada 2</w:t>
            </w:r>
            <w:r>
              <w:rPr>
                <w:sz w:val="20"/>
                <w:szCs w:val="20"/>
                <w:lang w:val="lv-LV"/>
              </w:rPr>
              <w:t>8</w:t>
            </w:r>
            <w:r w:rsidRPr="002C2A04">
              <w:rPr>
                <w:sz w:val="20"/>
                <w:szCs w:val="20"/>
                <w:lang w:val="lv-LV"/>
              </w:rPr>
              <w:t>.februāra vēstules kopija</w:t>
            </w:r>
            <w:r>
              <w:rPr>
                <w:sz w:val="20"/>
                <w:szCs w:val="20"/>
                <w:lang w:val="lv-LV"/>
              </w:rPr>
              <w:t>.</w:t>
            </w:r>
          </w:p>
          <w:p w:rsidR="002C2A04" w:rsidRPr="002C2A04" w:rsidRDefault="002C2A04" w:rsidP="002C2A04">
            <w:pPr>
              <w:keepNext/>
              <w:keepLines/>
              <w:rPr>
                <w:sz w:val="20"/>
                <w:szCs w:val="20"/>
                <w:lang w:val="lv-LV"/>
              </w:rPr>
            </w:pPr>
          </w:p>
          <w:p w:rsidR="00F00C85" w:rsidRPr="005400EE" w:rsidRDefault="00F00C85" w:rsidP="00F00C85">
            <w:pPr>
              <w:keepNext/>
              <w:keepLines/>
              <w:rPr>
                <w:sz w:val="20"/>
                <w:szCs w:val="20"/>
                <w:lang w:val="lv-LV"/>
              </w:rPr>
            </w:pPr>
          </w:p>
          <w:p w:rsidR="00F00C85" w:rsidRDefault="00F00C85" w:rsidP="00F00C85">
            <w:pPr>
              <w:keepNext/>
              <w:keepLines/>
              <w:rPr>
                <w:sz w:val="22"/>
                <w:szCs w:val="22"/>
                <w:lang w:val="lv-LV"/>
              </w:rPr>
            </w:pP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14"/>
              <w:gridCol w:w="2982"/>
              <w:gridCol w:w="2925"/>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 xml:space="preserve">R.Germova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_________________I.Putniņa</w:t>
                  </w:r>
                  <w:r w:rsidR="00012AB3">
                    <w:rPr>
                      <w:sz w:val="22"/>
                      <w:szCs w:val="22"/>
                      <w:lang w:val="lv-LV"/>
                    </w:rPr>
                    <w:t xml:space="preserve">              _______________J.Ieviņš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 xml:space="preserve">P.Orlovskis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3"/>
                <w:wAfter w:w="6521" w:type="dxa"/>
              </w:trPr>
              <w:tc>
                <w:tcPr>
                  <w:tcW w:w="3436" w:type="dxa"/>
                </w:tcPr>
                <w:p w:rsidR="00D7304E" w:rsidRPr="005400EE" w:rsidRDefault="00D7304E" w:rsidP="00F00C85">
                  <w:pPr>
                    <w:jc w:val="both"/>
                    <w:rPr>
                      <w:sz w:val="22"/>
                      <w:szCs w:val="22"/>
                      <w:lang w:val="lv-LV"/>
                    </w:rPr>
                  </w:pPr>
                </w:p>
              </w:tc>
            </w:tr>
            <w:tr w:rsidR="003037DB" w:rsidRPr="005400EE" w:rsidTr="00D7304E">
              <w:trPr>
                <w:gridAfter w:val="1"/>
                <w:wAfter w:w="2925"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D43394">
          <w:rPr>
            <w:noProof/>
          </w:rPr>
          <w:t>1</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DC6A10"/>
    <w:multiLevelType w:val="hybridMultilevel"/>
    <w:tmpl w:val="DA941D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2"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7"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7"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7"/>
  </w:num>
  <w:num w:numId="2">
    <w:abstractNumId w:val="32"/>
  </w:num>
  <w:num w:numId="3">
    <w:abstractNumId w:val="28"/>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5"/>
  </w:num>
  <w:num w:numId="7">
    <w:abstractNumId w:val="23"/>
  </w:num>
  <w:num w:numId="8">
    <w:abstractNumId w:val="38"/>
  </w:num>
  <w:num w:numId="9">
    <w:abstractNumId w:val="13"/>
  </w:num>
  <w:num w:numId="10">
    <w:abstractNumId w:val="34"/>
  </w:num>
  <w:num w:numId="11">
    <w:abstractNumId w:val="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0"/>
  </w:num>
  <w:num w:numId="16">
    <w:abstractNumId w:val="11"/>
  </w:num>
  <w:num w:numId="17">
    <w:abstractNumId w:val="29"/>
  </w:num>
  <w:num w:numId="18">
    <w:abstractNumId w:val="16"/>
  </w:num>
  <w:num w:numId="19">
    <w:abstractNumId w:val="12"/>
  </w:num>
  <w:num w:numId="20">
    <w:abstractNumId w:val="24"/>
  </w:num>
  <w:num w:numId="21">
    <w:abstractNumId w:val="37"/>
  </w:num>
  <w:num w:numId="22">
    <w:abstractNumId w:val="31"/>
  </w:num>
  <w:num w:numId="23">
    <w:abstractNumId w:val="18"/>
  </w:num>
  <w:num w:numId="24">
    <w:abstractNumId w:val="20"/>
  </w:num>
  <w:num w:numId="25">
    <w:abstractNumId w:val="6"/>
  </w:num>
  <w:num w:numId="26">
    <w:abstractNumId w:val="2"/>
  </w:num>
  <w:num w:numId="27">
    <w:abstractNumId w:val="10"/>
  </w:num>
  <w:num w:numId="28">
    <w:abstractNumId w:val="1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2"/>
  </w:num>
  <w:num w:numId="32">
    <w:abstractNumId w:val="9"/>
  </w:num>
  <w:num w:numId="33">
    <w:abstractNumId w:val="3"/>
  </w:num>
  <w:num w:numId="34">
    <w:abstractNumId w:val="21"/>
  </w:num>
  <w:num w:numId="35">
    <w:abstractNumId w:val="35"/>
  </w:num>
  <w:num w:numId="36">
    <w:abstractNumId w:val="36"/>
  </w:num>
  <w:num w:numId="37">
    <w:abstractNumId w:val="5"/>
  </w:num>
  <w:num w:numId="38">
    <w:abstractNumId w:val="42"/>
  </w:num>
  <w:num w:numId="39">
    <w:abstractNumId w:val="26"/>
  </w:num>
  <w:num w:numId="40">
    <w:abstractNumId w:val="19"/>
  </w:num>
  <w:num w:numId="41">
    <w:abstractNumId w:val="14"/>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A04"/>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24D5"/>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94"/>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B0C"/>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3041</Words>
  <Characters>1734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2</cp:revision>
  <cp:lastPrinted>2017-11-10T07:46:00Z</cp:lastPrinted>
  <dcterms:created xsi:type="dcterms:W3CDTF">2018-03-01T07:07:00Z</dcterms:created>
  <dcterms:modified xsi:type="dcterms:W3CDTF">2018-03-01T07:07:00Z</dcterms:modified>
</cp:coreProperties>
</file>