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DB34" w14:textId="77777777" w:rsidR="00097445" w:rsidRPr="003C78BD" w:rsidRDefault="00097445" w:rsidP="00097445">
      <w:pPr>
        <w:jc w:val="center"/>
        <w:rPr>
          <w:rFonts w:eastAsia="Franklin Gothic Heavy" w:cs="Franklin Gothic Heavy"/>
          <w:b/>
        </w:rPr>
      </w:pPr>
      <w:bookmarkStart w:id="0" w:name="_GoBack"/>
      <w:bookmarkEnd w:id="0"/>
      <w:r w:rsidRPr="003C78BD">
        <w:rPr>
          <w:rFonts w:eastAsia="Franklin Gothic Heavy" w:cs="Franklin Gothic Heavy"/>
          <w:b/>
        </w:rPr>
        <w:t>Atbilde uz piegādātāja iesniegt</w:t>
      </w:r>
      <w:r>
        <w:rPr>
          <w:rFonts w:eastAsia="Franklin Gothic Heavy" w:cs="Franklin Gothic Heavy"/>
          <w:b/>
        </w:rPr>
        <w:t>o</w:t>
      </w:r>
      <w:r w:rsidRPr="003C78BD">
        <w:rPr>
          <w:rFonts w:eastAsia="Franklin Gothic Heavy" w:cs="Franklin Gothic Heavy"/>
          <w:b/>
        </w:rPr>
        <w:t xml:space="preserve"> jautājum</w:t>
      </w:r>
      <w:r>
        <w:rPr>
          <w:rFonts w:eastAsia="Franklin Gothic Heavy" w:cs="Franklin Gothic Heavy"/>
          <w:b/>
        </w:rPr>
        <w:t>u</w:t>
      </w:r>
      <w:r w:rsidRPr="003C78BD">
        <w:rPr>
          <w:rFonts w:eastAsia="Franklin Gothic Heavy" w:cs="Franklin Gothic Heavy"/>
          <w:b/>
        </w:rPr>
        <w:t xml:space="preserve"> Nr.1</w:t>
      </w:r>
      <w:r>
        <w:rPr>
          <w:rFonts w:eastAsia="Franklin Gothic Heavy" w:cs="Franklin Gothic Heavy"/>
          <w:b/>
        </w:rPr>
        <w:t xml:space="preserve"> </w:t>
      </w:r>
    </w:p>
    <w:p w14:paraId="654039DF" w14:textId="77777777" w:rsidR="00097445" w:rsidRPr="00621EBF" w:rsidRDefault="00097445" w:rsidP="00097445">
      <w:pPr>
        <w:jc w:val="center"/>
        <w:rPr>
          <w:rFonts w:eastAsia="Franklin Gothic Heavy" w:cs="Franklin Gothic Heavy"/>
          <w:b/>
        </w:rPr>
      </w:pPr>
      <w:r w:rsidRPr="00063CBB">
        <w:rPr>
          <w:rFonts w:eastAsia="Franklin Gothic Heavy" w:cs="Franklin Gothic Heavy"/>
          <w:b/>
        </w:rPr>
        <w:t xml:space="preserve">iepirkumā </w:t>
      </w:r>
      <w:r w:rsidRPr="00331828">
        <w:rPr>
          <w:rFonts w:eastAsia="Franklin Gothic Heavy" w:cs="Franklin Gothic Heavy"/>
          <w:b/>
        </w:rPr>
        <w:t>„</w:t>
      </w:r>
      <w:r>
        <w:rPr>
          <w:rFonts w:eastAsia="Franklin Gothic Heavy" w:cs="Franklin Gothic Heavy"/>
          <w:b/>
        </w:rPr>
        <w:t>Elektronisko grāmatu piegādes platformas lietošanas tiesības Rīgas Tehniskās universitātes vajadzībām</w:t>
      </w:r>
      <w:r w:rsidRPr="00331828">
        <w:rPr>
          <w:rFonts w:eastAsia="Franklin Gothic Heavy" w:cs="Franklin Gothic Heavy"/>
          <w:b/>
        </w:rPr>
        <w:t>”</w:t>
      </w:r>
    </w:p>
    <w:p w14:paraId="6BF91400" w14:textId="77777777" w:rsidR="00097445" w:rsidRPr="00F1549F" w:rsidRDefault="00097445" w:rsidP="00097445">
      <w:pPr>
        <w:jc w:val="center"/>
        <w:rPr>
          <w:rFonts w:eastAsia="Franklin Gothic Heavy" w:cs="Franklin Gothic Heavy"/>
          <w:b/>
        </w:rPr>
      </w:pPr>
      <w:r w:rsidRPr="00F1549F">
        <w:rPr>
          <w:rFonts w:eastAsia="Franklin Gothic Heavy" w:cs="Franklin Gothic Heavy"/>
          <w:b/>
        </w:rPr>
        <w:t>id.Nr. RTU-201</w:t>
      </w:r>
      <w:r>
        <w:rPr>
          <w:rFonts w:eastAsia="Franklin Gothic Heavy" w:cs="Franklin Gothic Heavy"/>
          <w:b/>
        </w:rPr>
        <w:t>6/37</w:t>
      </w:r>
    </w:p>
    <w:p w14:paraId="4D8124BB" w14:textId="77777777" w:rsidR="00097445" w:rsidRDefault="00097445" w:rsidP="00097445">
      <w:pPr>
        <w:rPr>
          <w:rFonts w:eastAsia="Franklin Gothic Heavy" w:cs="Franklin Gothic Heavy"/>
        </w:rPr>
      </w:pPr>
    </w:p>
    <w:p w14:paraId="6E6B06F4" w14:textId="77777777" w:rsidR="00097445" w:rsidRDefault="00097445" w:rsidP="00097445">
      <w:pPr>
        <w:rPr>
          <w:rFonts w:eastAsia="Franklin Gothic Heavy" w:cs="Franklin Gothic Heavy"/>
        </w:rPr>
      </w:pPr>
      <w:r w:rsidRPr="00F1549F">
        <w:rPr>
          <w:rFonts w:eastAsia="Franklin Gothic Heavy" w:cs="Franklin Gothic Heavy"/>
        </w:rPr>
        <w:t>Rīga, 201</w:t>
      </w:r>
      <w:r>
        <w:rPr>
          <w:rFonts w:eastAsia="Franklin Gothic Heavy" w:cs="Franklin Gothic Heavy"/>
        </w:rPr>
        <w:t>6</w:t>
      </w:r>
      <w:r w:rsidRPr="00F1549F">
        <w:rPr>
          <w:rFonts w:eastAsia="Franklin Gothic Heavy" w:cs="Franklin Gothic Heavy"/>
        </w:rPr>
        <w:t xml:space="preserve">.gada </w:t>
      </w:r>
      <w:r>
        <w:rPr>
          <w:rFonts w:eastAsia="Franklin Gothic Heavy" w:cs="Franklin Gothic Heavy"/>
        </w:rPr>
        <w:t>28.septembrī</w:t>
      </w:r>
    </w:p>
    <w:p w14:paraId="1AF6A37F" w14:textId="77777777" w:rsidR="00097445" w:rsidRDefault="00097445" w:rsidP="00097445">
      <w:pPr>
        <w:jc w:val="right"/>
        <w:rPr>
          <w:rFonts w:ascii="Book Antiqua" w:hAnsi="Book Antiqua"/>
          <w:b/>
          <w:sz w:val="22"/>
          <w:szCs w:val="22"/>
        </w:rPr>
      </w:pPr>
    </w:p>
    <w:p w14:paraId="0D3EA21F" w14:textId="77777777" w:rsidR="00653597" w:rsidRPr="001B3A71" w:rsidRDefault="00653597" w:rsidP="00097445">
      <w:pPr>
        <w:jc w:val="right"/>
        <w:rPr>
          <w:rFonts w:ascii="Book Antiqua" w:hAnsi="Book Antiqua"/>
          <w:b/>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522"/>
        <w:gridCol w:w="3733"/>
        <w:gridCol w:w="3561"/>
      </w:tblGrid>
      <w:tr w:rsidR="002775B8" w:rsidRPr="00621B97" w14:paraId="24A2AD18" w14:textId="77777777" w:rsidTr="00CA25CE">
        <w:trPr>
          <w:cantSplit/>
          <w:tblHeader/>
        </w:trPr>
        <w:tc>
          <w:tcPr>
            <w:tcW w:w="296" w:type="pct"/>
            <w:tcBorders>
              <w:top w:val="single" w:sz="4" w:space="0" w:color="auto"/>
              <w:left w:val="single" w:sz="4" w:space="0" w:color="auto"/>
              <w:bottom w:val="single" w:sz="4" w:space="0" w:color="auto"/>
              <w:right w:val="single" w:sz="4" w:space="0" w:color="auto"/>
            </w:tcBorders>
            <w:shd w:val="clear" w:color="auto" w:fill="D9D9D9"/>
          </w:tcPr>
          <w:p w14:paraId="36DE2F98" w14:textId="77777777" w:rsidR="00097445" w:rsidRPr="00CA25CE" w:rsidRDefault="00097445" w:rsidP="004B7C53">
            <w:pPr>
              <w:spacing w:beforeLines="60" w:before="144"/>
              <w:jc w:val="center"/>
            </w:pPr>
            <w:r w:rsidRPr="00CA25CE">
              <w:t>Nr.</w:t>
            </w:r>
          </w:p>
        </w:tc>
        <w:tc>
          <w:tcPr>
            <w:tcW w:w="812" w:type="pct"/>
            <w:tcBorders>
              <w:top w:val="single" w:sz="4" w:space="0" w:color="auto"/>
              <w:left w:val="single" w:sz="4" w:space="0" w:color="auto"/>
              <w:bottom w:val="single" w:sz="4" w:space="0" w:color="auto"/>
              <w:right w:val="single" w:sz="4" w:space="0" w:color="auto"/>
            </w:tcBorders>
            <w:shd w:val="clear" w:color="auto" w:fill="D9D9D9"/>
            <w:vAlign w:val="center"/>
          </w:tcPr>
          <w:p w14:paraId="04D4AAC3" w14:textId="77777777" w:rsidR="00097445" w:rsidRPr="00CA25CE" w:rsidRDefault="00097445" w:rsidP="004B7C53">
            <w:pPr>
              <w:spacing w:beforeLines="60" w:before="144"/>
              <w:jc w:val="center"/>
            </w:pPr>
            <w:r w:rsidRPr="00CA25CE">
              <w:t>Nolikuma punkts</w:t>
            </w:r>
          </w:p>
        </w:tc>
        <w:tc>
          <w:tcPr>
            <w:tcW w:w="1992" w:type="pct"/>
            <w:tcBorders>
              <w:top w:val="single" w:sz="4" w:space="0" w:color="auto"/>
              <w:left w:val="single" w:sz="4" w:space="0" w:color="auto"/>
              <w:bottom w:val="single" w:sz="4" w:space="0" w:color="auto"/>
              <w:right w:val="single" w:sz="4" w:space="0" w:color="auto"/>
            </w:tcBorders>
            <w:shd w:val="clear" w:color="auto" w:fill="D9D9D9"/>
            <w:vAlign w:val="center"/>
          </w:tcPr>
          <w:p w14:paraId="6DA7A925" w14:textId="77777777" w:rsidR="00097445" w:rsidRPr="00CA25CE" w:rsidRDefault="00097445" w:rsidP="004B7C53">
            <w:pPr>
              <w:spacing w:beforeLines="60" w:before="144"/>
              <w:jc w:val="center"/>
            </w:pPr>
            <w:r w:rsidRPr="00CA25CE">
              <w:t>Jautājums / ierosinājums</w:t>
            </w:r>
          </w:p>
        </w:tc>
        <w:tc>
          <w:tcPr>
            <w:tcW w:w="1900" w:type="pct"/>
            <w:tcBorders>
              <w:top w:val="single" w:sz="4" w:space="0" w:color="auto"/>
              <w:left w:val="single" w:sz="4" w:space="0" w:color="auto"/>
              <w:bottom w:val="single" w:sz="4" w:space="0" w:color="auto"/>
              <w:right w:val="single" w:sz="4" w:space="0" w:color="auto"/>
            </w:tcBorders>
            <w:shd w:val="clear" w:color="auto" w:fill="D9D9D9"/>
          </w:tcPr>
          <w:p w14:paraId="5410D405" w14:textId="77777777" w:rsidR="00097445" w:rsidRPr="00CA25CE" w:rsidRDefault="00097445" w:rsidP="004B7C53">
            <w:pPr>
              <w:spacing w:beforeLines="60" w:before="144"/>
              <w:jc w:val="center"/>
            </w:pPr>
            <w:r w:rsidRPr="00CA25CE">
              <w:t>Atbilde</w:t>
            </w:r>
          </w:p>
        </w:tc>
      </w:tr>
      <w:tr w:rsidR="002775B8" w:rsidRPr="00621B97" w14:paraId="7E0E0C01"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0FD72D11" w14:textId="77777777" w:rsidR="00097445" w:rsidRPr="00CA25CE" w:rsidRDefault="00097445" w:rsidP="007726D9">
            <w:pPr>
              <w:spacing w:beforeLines="60" w:before="144"/>
              <w:jc w:val="both"/>
            </w:pPr>
            <w:r w:rsidRPr="00CA25CE">
              <w:t>1.</w:t>
            </w:r>
          </w:p>
        </w:tc>
        <w:tc>
          <w:tcPr>
            <w:tcW w:w="812" w:type="pct"/>
            <w:tcBorders>
              <w:top w:val="single" w:sz="4" w:space="0" w:color="auto"/>
              <w:left w:val="single" w:sz="4" w:space="0" w:color="auto"/>
              <w:bottom w:val="single" w:sz="4" w:space="0" w:color="auto"/>
              <w:right w:val="single" w:sz="4" w:space="0" w:color="auto"/>
            </w:tcBorders>
          </w:tcPr>
          <w:p w14:paraId="4CE89342" w14:textId="77777777" w:rsidR="00097445" w:rsidRPr="00CA25CE" w:rsidRDefault="00097445" w:rsidP="007726D9">
            <w:pPr>
              <w:spacing w:beforeLines="60" w:before="144"/>
              <w:jc w:val="both"/>
            </w:pPr>
            <w:r w:rsidRPr="00CA25CE">
              <w:t xml:space="preserve">Pasūtītāja tehniskā specifikācija, punkts </w:t>
            </w:r>
          </w:p>
          <w:p w14:paraId="116619A8" w14:textId="77777777" w:rsidR="00097445" w:rsidRPr="00CA25CE" w:rsidRDefault="00097445" w:rsidP="007726D9">
            <w:pPr>
              <w:spacing w:beforeLines="60" w:before="144"/>
              <w:jc w:val="both"/>
            </w:pPr>
            <w:r w:rsidRPr="00CA25CE">
              <w:t>Nr. 13</w:t>
            </w:r>
          </w:p>
        </w:tc>
        <w:tc>
          <w:tcPr>
            <w:tcW w:w="1992" w:type="pct"/>
            <w:tcBorders>
              <w:top w:val="single" w:sz="4" w:space="0" w:color="auto"/>
              <w:left w:val="single" w:sz="4" w:space="0" w:color="auto"/>
              <w:bottom w:val="single" w:sz="4" w:space="0" w:color="auto"/>
              <w:right w:val="single" w:sz="4" w:space="0" w:color="auto"/>
            </w:tcBorders>
          </w:tcPr>
          <w:p w14:paraId="14F2EADF" w14:textId="77777777" w:rsidR="00097445" w:rsidRPr="00CA25CE" w:rsidRDefault="00097445" w:rsidP="000F5600">
            <w:pPr>
              <w:autoSpaceDE w:val="0"/>
              <w:autoSpaceDN w:val="0"/>
              <w:adjustRightInd w:val="0"/>
              <w:jc w:val="both"/>
              <w:rPr>
                <w:bCs/>
                <w:i/>
              </w:rPr>
            </w:pPr>
            <w:r w:rsidRPr="00CA25CE">
              <w:rPr>
                <w:bCs/>
                <w:i/>
              </w:rPr>
              <w:t>Maksājumi tiešsaistē</w:t>
            </w:r>
          </w:p>
          <w:p w14:paraId="46292043" w14:textId="77777777" w:rsidR="00097445" w:rsidRPr="00CA25CE" w:rsidRDefault="00097445" w:rsidP="000F5600">
            <w:pPr>
              <w:autoSpaceDE w:val="0"/>
              <w:autoSpaceDN w:val="0"/>
              <w:adjustRightInd w:val="0"/>
              <w:jc w:val="both"/>
              <w:rPr>
                <w:bCs/>
                <w:i/>
              </w:rPr>
            </w:pPr>
            <w:r w:rsidRPr="00CA25CE">
              <w:rPr>
                <w:bCs/>
                <w:i/>
              </w:rPr>
              <w:t>1.</w:t>
            </w:r>
            <w:r w:rsidRPr="00CA25CE">
              <w:rPr>
                <w:bCs/>
                <w:i/>
              </w:rPr>
              <w:tab/>
              <w:t>Paredz iespēju Platformas lietotājiem norēķināties vismaz ar bankas norēķinu karti (vismaz VISA, MasterCard).</w:t>
            </w:r>
          </w:p>
          <w:p w14:paraId="32C78D79" w14:textId="77777777" w:rsidR="00097445" w:rsidRPr="00CA25CE" w:rsidRDefault="00097445" w:rsidP="00097445">
            <w:pPr>
              <w:autoSpaceDE w:val="0"/>
              <w:autoSpaceDN w:val="0"/>
              <w:adjustRightInd w:val="0"/>
              <w:spacing w:beforeLines="60" w:before="144"/>
              <w:jc w:val="both"/>
            </w:pPr>
            <w:r w:rsidRPr="00CA25CE">
              <w:rPr>
                <w:b/>
                <w:bCs/>
                <w:u w:val="single"/>
              </w:rPr>
              <w:t>Jautājums Nr.1</w:t>
            </w:r>
            <w:r w:rsidRPr="00CA25CE">
              <w:t>: Lūdzam skaidrot, vai Pasūtītājs paredz nodrošināt pilnu maksājuma karšu transakciju apstrādes risinājumu (tirdzniecības konta atvēršana un konta uzturēšanas izmaksas, līgums ar kredītiestādi par norēķinu karšu izmantošanu internetā, līgums ar karšu transakciju apstrādes sistēmas ražotāju)? Ja jā, tad ar kāda ražotāja un tieši ar kādu karšu transakciju apstrādes sistēmu ir jāparedz e-grāmatu iegādes platformas risinājuma saskarne?</w:t>
            </w:r>
          </w:p>
        </w:tc>
        <w:tc>
          <w:tcPr>
            <w:tcW w:w="1900" w:type="pct"/>
            <w:tcBorders>
              <w:top w:val="single" w:sz="4" w:space="0" w:color="auto"/>
              <w:left w:val="single" w:sz="4" w:space="0" w:color="auto"/>
              <w:bottom w:val="single" w:sz="4" w:space="0" w:color="auto"/>
              <w:right w:val="single" w:sz="4" w:space="0" w:color="auto"/>
            </w:tcBorders>
          </w:tcPr>
          <w:p w14:paraId="6F7E956E" w14:textId="677D296A" w:rsidR="00097445" w:rsidRPr="00CA25CE" w:rsidRDefault="001B6A3C" w:rsidP="00097445">
            <w:pPr>
              <w:autoSpaceDE w:val="0"/>
              <w:autoSpaceDN w:val="0"/>
              <w:adjustRightInd w:val="0"/>
              <w:spacing w:beforeLines="60" w:before="144"/>
              <w:jc w:val="both"/>
            </w:pPr>
            <w:r w:rsidRPr="00CA25CE">
              <w:t>P</w:t>
            </w:r>
            <w:r w:rsidR="00097445" w:rsidRPr="00CA25CE">
              <w:t>ilnu maksājuma karšu transakcijas apstrādes risinājumu</w:t>
            </w:r>
            <w:r w:rsidRPr="00CA25CE">
              <w:t xml:space="preserve"> nodrošina Piegādātājs</w:t>
            </w:r>
            <w:r w:rsidR="00097445" w:rsidRPr="00CA25CE">
              <w:t>. Jāparedz, lai sistēmas lietotājs maksājumu var veikt</w:t>
            </w:r>
            <w:r w:rsidRPr="00CA25CE">
              <w:t>,</w:t>
            </w:r>
            <w:r w:rsidR="00097445" w:rsidRPr="00CA25CE">
              <w:t xml:space="preserve"> izmantojot  vismaz VISA un MASTERCARD. Piegādātājs var pēc saviem ieskatiem </w:t>
            </w:r>
            <w:r w:rsidRPr="00CA25CE">
              <w:t xml:space="preserve">izvēlēties </w:t>
            </w:r>
            <w:r w:rsidR="00097445" w:rsidRPr="00CA25CE">
              <w:t>karšu transakcijas sistēmu.</w:t>
            </w:r>
          </w:p>
          <w:p w14:paraId="663799A4" w14:textId="77777777" w:rsidR="00097445" w:rsidRPr="00CA25CE" w:rsidRDefault="00097445" w:rsidP="000F5600">
            <w:pPr>
              <w:autoSpaceDE w:val="0"/>
              <w:autoSpaceDN w:val="0"/>
              <w:adjustRightInd w:val="0"/>
              <w:jc w:val="both"/>
              <w:rPr>
                <w:bCs/>
                <w:i/>
              </w:rPr>
            </w:pPr>
          </w:p>
        </w:tc>
      </w:tr>
      <w:tr w:rsidR="002775B8" w:rsidRPr="00621B97" w14:paraId="401A3B21"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7BEF83FC" w14:textId="77777777" w:rsidR="00097445" w:rsidRPr="00CA25CE" w:rsidRDefault="00097445" w:rsidP="00CB15A7">
            <w:pPr>
              <w:spacing w:beforeLines="60" w:before="144"/>
              <w:jc w:val="both"/>
            </w:pPr>
            <w:r w:rsidRPr="00CA25CE">
              <w:t>2.</w:t>
            </w:r>
          </w:p>
        </w:tc>
        <w:tc>
          <w:tcPr>
            <w:tcW w:w="812" w:type="pct"/>
            <w:tcBorders>
              <w:top w:val="single" w:sz="4" w:space="0" w:color="auto"/>
              <w:left w:val="single" w:sz="4" w:space="0" w:color="auto"/>
              <w:bottom w:val="single" w:sz="4" w:space="0" w:color="auto"/>
              <w:right w:val="single" w:sz="4" w:space="0" w:color="auto"/>
            </w:tcBorders>
          </w:tcPr>
          <w:p w14:paraId="2EA7640B" w14:textId="77777777" w:rsidR="00097445" w:rsidRPr="00CA25CE" w:rsidRDefault="00097445" w:rsidP="00CB15A7">
            <w:pPr>
              <w:spacing w:beforeLines="60" w:before="144"/>
              <w:jc w:val="both"/>
            </w:pPr>
            <w:r w:rsidRPr="00CA25CE">
              <w:t>Pasūtītāja tehniskā specifikācija, punkts Nr. 5</w:t>
            </w:r>
          </w:p>
        </w:tc>
        <w:tc>
          <w:tcPr>
            <w:tcW w:w="1992" w:type="pct"/>
            <w:tcBorders>
              <w:top w:val="single" w:sz="4" w:space="0" w:color="auto"/>
              <w:left w:val="single" w:sz="4" w:space="0" w:color="auto"/>
              <w:bottom w:val="single" w:sz="4" w:space="0" w:color="auto"/>
              <w:right w:val="single" w:sz="4" w:space="0" w:color="auto"/>
            </w:tcBorders>
          </w:tcPr>
          <w:p w14:paraId="66B5B975" w14:textId="77777777" w:rsidR="00097445" w:rsidRPr="00CA25CE" w:rsidRDefault="00097445" w:rsidP="00CB15A7">
            <w:pPr>
              <w:autoSpaceDE w:val="0"/>
              <w:autoSpaceDN w:val="0"/>
              <w:adjustRightInd w:val="0"/>
              <w:jc w:val="both"/>
              <w:rPr>
                <w:bCs/>
                <w:i/>
                <w:highlight w:val="yellow"/>
              </w:rPr>
            </w:pPr>
            <w:r w:rsidRPr="00CA25CE">
              <w:rPr>
                <w:bCs/>
                <w:i/>
              </w:rPr>
              <w:t>2.</w:t>
            </w:r>
            <w:r w:rsidRPr="00CA25CE">
              <w:rPr>
                <w:bCs/>
                <w:i/>
              </w:rPr>
              <w:tab/>
              <w:t>Nodrošina individuālu un institucionālu piekļuvi Platformai</w:t>
            </w:r>
          </w:p>
          <w:p w14:paraId="6498B7EF" w14:textId="77777777" w:rsidR="00097445" w:rsidRPr="00CA25CE" w:rsidRDefault="00097445" w:rsidP="00097445">
            <w:pPr>
              <w:autoSpaceDE w:val="0"/>
              <w:autoSpaceDN w:val="0"/>
              <w:adjustRightInd w:val="0"/>
              <w:spacing w:beforeLines="60" w:before="144"/>
              <w:jc w:val="both"/>
              <w:rPr>
                <w:highlight w:val="yellow"/>
              </w:rPr>
            </w:pPr>
            <w:r w:rsidRPr="00CA25CE">
              <w:rPr>
                <w:b/>
                <w:bCs/>
                <w:u w:val="single"/>
              </w:rPr>
              <w:t>Jautājums Nr.2</w:t>
            </w:r>
            <w:r w:rsidRPr="00CA25CE">
              <w:t>: Lūdzam skaidrot, vai Piegādātājam ir jāiekļauj piedāvājumā sava infrastruktūra (serveri, tīkla, interneta pieslēgums un šīs platformas uzturēšana) e-grāmatu platformas izmitināšanai, vai arī Pasūtītājs plāno nodrošināt savu infrastruktūru? Ja infrastruktūra jānodrošina Piegādātājam, lūdzam skaidrot, pie kādām pozīcijām finanšu piedāvājumā šis izmaksas jāuzrāda?</w:t>
            </w:r>
          </w:p>
        </w:tc>
        <w:tc>
          <w:tcPr>
            <w:tcW w:w="1900" w:type="pct"/>
            <w:tcBorders>
              <w:top w:val="single" w:sz="4" w:space="0" w:color="auto"/>
              <w:left w:val="single" w:sz="4" w:space="0" w:color="auto"/>
              <w:bottom w:val="single" w:sz="4" w:space="0" w:color="auto"/>
              <w:right w:val="single" w:sz="4" w:space="0" w:color="auto"/>
            </w:tcBorders>
          </w:tcPr>
          <w:p w14:paraId="596E5D8C" w14:textId="47AAC46A" w:rsidR="00003D6D" w:rsidRDefault="001B6A3C" w:rsidP="00B345DA">
            <w:pPr>
              <w:autoSpaceDE w:val="0"/>
              <w:autoSpaceDN w:val="0"/>
              <w:adjustRightInd w:val="0"/>
              <w:spacing w:beforeLines="60" w:before="144"/>
              <w:jc w:val="both"/>
            </w:pPr>
            <w:r w:rsidRPr="00CA25CE">
              <w:t xml:space="preserve">Atbilstoši tehniskās specifikācijas 1.1.punktam platformas piegādātājs nodrošina funkcionējošu e-grāmatu sistēmu, kuras lietošanas tiesības tas ir tiesīgs nodot Pasūtītājam. Attiecīgi </w:t>
            </w:r>
            <w:r w:rsidR="00097445" w:rsidRPr="00CA25CE">
              <w:t>Piegādātājs var izvēlēties, kur izvietot Platformu</w:t>
            </w:r>
            <w:r w:rsidRPr="00CA25CE">
              <w:t xml:space="preserve"> un </w:t>
            </w:r>
            <w:r w:rsidRPr="00B345DA">
              <w:t>pats nodrošina infrastruktūru e-grāmatu platformas izmitināšanai</w:t>
            </w:r>
            <w:r w:rsidR="00097445" w:rsidRPr="006D3DCD">
              <w:t>.</w:t>
            </w:r>
            <w:r w:rsidR="00097445" w:rsidRPr="00CA25CE">
              <w:t xml:space="preserve"> </w:t>
            </w:r>
          </w:p>
          <w:p w14:paraId="7B993885" w14:textId="30D80E4D" w:rsidR="00097445" w:rsidRPr="00CA25CE" w:rsidRDefault="00621B97" w:rsidP="00B345DA">
            <w:pPr>
              <w:autoSpaceDE w:val="0"/>
              <w:autoSpaceDN w:val="0"/>
              <w:adjustRightInd w:val="0"/>
              <w:spacing w:beforeLines="60" w:before="144"/>
              <w:jc w:val="both"/>
              <w:rPr>
                <w:bCs/>
                <w:i/>
              </w:rPr>
            </w:pPr>
            <w:r>
              <w:t xml:space="preserve">Saistītās </w:t>
            </w:r>
            <w:r w:rsidR="00097445" w:rsidRPr="00CA25CE">
              <w:t xml:space="preserve">izmaksas jāiekļauj </w:t>
            </w:r>
            <w:r w:rsidR="001B6A3C" w:rsidRPr="00CA25CE">
              <w:t xml:space="preserve">tehniskās specifikācijas II sadaļas “Finanšu piedāvājums” </w:t>
            </w:r>
            <w:r w:rsidR="00097445" w:rsidRPr="00CA25CE">
              <w:t>17.punktā minētajā pozīcijā “Vienreizējā maksājuma summa (iekļaujot otras valodas izveidi un ikgadējo maksājumu par 1.gadu)”</w:t>
            </w:r>
            <w:r w:rsidR="00003D6D">
              <w:t xml:space="preserve"> un 18.punktā minētajā pozīcijā “Ikgadējie maksājumi”</w:t>
            </w:r>
            <w:r w:rsidR="001B6A3C" w:rsidRPr="00CA25CE">
              <w:t>.</w:t>
            </w:r>
          </w:p>
        </w:tc>
      </w:tr>
      <w:tr w:rsidR="002775B8" w:rsidRPr="00621B97" w14:paraId="1ADD26AA" w14:textId="77777777" w:rsidTr="00CA25CE">
        <w:trPr>
          <w:cantSplit/>
        </w:trPr>
        <w:tc>
          <w:tcPr>
            <w:tcW w:w="296" w:type="pct"/>
            <w:tcBorders>
              <w:top w:val="single" w:sz="4" w:space="0" w:color="auto"/>
              <w:left w:val="single" w:sz="4" w:space="0" w:color="auto"/>
              <w:bottom w:val="single" w:sz="4" w:space="0" w:color="auto"/>
              <w:right w:val="single" w:sz="4" w:space="0" w:color="auto"/>
            </w:tcBorders>
          </w:tcPr>
          <w:p w14:paraId="495B41B8" w14:textId="77777777" w:rsidR="00097445" w:rsidRPr="00CA25CE" w:rsidRDefault="00097445" w:rsidP="009F0672">
            <w:pPr>
              <w:spacing w:beforeLines="60" w:before="144"/>
              <w:jc w:val="both"/>
            </w:pPr>
            <w:r w:rsidRPr="00CA25CE">
              <w:t>3.</w:t>
            </w:r>
          </w:p>
        </w:tc>
        <w:tc>
          <w:tcPr>
            <w:tcW w:w="812" w:type="pct"/>
            <w:tcBorders>
              <w:top w:val="single" w:sz="4" w:space="0" w:color="auto"/>
              <w:left w:val="single" w:sz="4" w:space="0" w:color="auto"/>
              <w:bottom w:val="single" w:sz="4" w:space="0" w:color="auto"/>
              <w:right w:val="single" w:sz="4" w:space="0" w:color="auto"/>
            </w:tcBorders>
          </w:tcPr>
          <w:p w14:paraId="4CF51CCA" w14:textId="77777777" w:rsidR="00097445" w:rsidRPr="00CA25CE" w:rsidRDefault="00097445" w:rsidP="009F0672">
            <w:pPr>
              <w:spacing w:beforeLines="60" w:before="144"/>
              <w:jc w:val="both"/>
            </w:pPr>
            <w:r w:rsidRPr="00CA25CE">
              <w:t>Pasūtītāja tehniskā specifikācija, punkts Nr. 9</w:t>
            </w:r>
          </w:p>
        </w:tc>
        <w:tc>
          <w:tcPr>
            <w:tcW w:w="1992" w:type="pct"/>
            <w:tcBorders>
              <w:top w:val="single" w:sz="4" w:space="0" w:color="auto"/>
              <w:left w:val="single" w:sz="4" w:space="0" w:color="auto"/>
              <w:bottom w:val="single" w:sz="4" w:space="0" w:color="auto"/>
              <w:right w:val="single" w:sz="4" w:space="0" w:color="auto"/>
            </w:tcBorders>
          </w:tcPr>
          <w:p w14:paraId="725E4F44" w14:textId="77777777" w:rsidR="00097445" w:rsidRPr="00CA25CE" w:rsidRDefault="00097445" w:rsidP="009F0672">
            <w:pPr>
              <w:autoSpaceDE w:val="0"/>
              <w:autoSpaceDN w:val="0"/>
              <w:adjustRightInd w:val="0"/>
              <w:spacing w:beforeLines="60" w:before="144"/>
              <w:jc w:val="both"/>
              <w:rPr>
                <w:bCs/>
                <w:i/>
              </w:rPr>
            </w:pPr>
            <w:r w:rsidRPr="00CA25CE">
              <w:rPr>
                <w:bCs/>
                <w:i/>
              </w:rPr>
              <w:t>9.</w:t>
            </w:r>
            <w:r w:rsidRPr="00CA25CE">
              <w:rPr>
                <w:bCs/>
                <w:i/>
              </w:rPr>
              <w:tab/>
              <w:t>Platformas e-grāmatu un e-žurnālu katalogs ir pieejams reģistrētiem lietotājiem: (1) RTU autorizētiem lietotājiem, izmantojot Pasūtītāja rīcībā esošu OAUTH2.0 bāzētu autorizācijas risinājumu (šīs prasības izpildei Pasūtītājs sniegs Piegādātājam nepieciešamo tehnisko informāciju pēc līguma noslēgšanas)</w:t>
            </w:r>
          </w:p>
          <w:p w14:paraId="2713D466" w14:textId="77777777" w:rsidR="00097445" w:rsidRPr="00CA25CE" w:rsidRDefault="00097445" w:rsidP="00097445">
            <w:pPr>
              <w:autoSpaceDE w:val="0"/>
              <w:autoSpaceDN w:val="0"/>
              <w:adjustRightInd w:val="0"/>
              <w:spacing w:beforeLines="60" w:before="144"/>
              <w:jc w:val="both"/>
              <w:rPr>
                <w:highlight w:val="yellow"/>
              </w:rPr>
            </w:pPr>
            <w:r w:rsidRPr="00CA25CE">
              <w:rPr>
                <w:b/>
                <w:bCs/>
                <w:u w:val="single"/>
              </w:rPr>
              <w:t>Jautājums Nr.3</w:t>
            </w:r>
            <w:r w:rsidRPr="00CA25CE">
              <w:t>: Vai var pieņemt, ka citu institūciju lietotāju (izņemot RTU) autorizācijas risinājums būs tehniski analoģisks RTU paredzētajam (OAUTH2.0 bāzēts)? Ņemot vērā, ka papildu autorizācijas avota pievienošana sistēmai prasa papildu konfigurēšanas darbus, vai ir zināms, ar cik iestādēm šāda autorizācija būtu jārealizē?</w:t>
            </w:r>
          </w:p>
        </w:tc>
        <w:tc>
          <w:tcPr>
            <w:tcW w:w="1900" w:type="pct"/>
            <w:tcBorders>
              <w:top w:val="single" w:sz="4" w:space="0" w:color="auto"/>
              <w:left w:val="single" w:sz="4" w:space="0" w:color="auto"/>
              <w:bottom w:val="single" w:sz="4" w:space="0" w:color="auto"/>
              <w:right w:val="single" w:sz="4" w:space="0" w:color="auto"/>
            </w:tcBorders>
          </w:tcPr>
          <w:p w14:paraId="3EC807B9" w14:textId="47B583C7" w:rsidR="00097445" w:rsidRPr="00CA25CE" w:rsidRDefault="00097445" w:rsidP="00003D6D">
            <w:pPr>
              <w:autoSpaceDE w:val="0"/>
              <w:autoSpaceDN w:val="0"/>
              <w:adjustRightInd w:val="0"/>
              <w:spacing w:beforeLines="60" w:before="144"/>
              <w:jc w:val="both"/>
              <w:rPr>
                <w:bCs/>
                <w:i/>
              </w:rPr>
            </w:pPr>
            <w:r w:rsidRPr="00CA25CE">
              <w:t>OAUTH2.0 autorizācijas risinājums paredzēts tikai RTU lietotājiem. Citas institūcijas izmanto tām paredzētu Platformā reģistrēta lietotāja kontu</w:t>
            </w:r>
            <w:r w:rsidR="00003D6D">
              <w:t xml:space="preserve"> (nav paredzēta</w:t>
            </w:r>
            <w:r w:rsidR="00003D6D" w:rsidRPr="00CA25CE">
              <w:t xml:space="preserve"> papildu autorizācijas avota pievienošana sistēmai</w:t>
            </w:r>
            <w:r w:rsidR="00003D6D">
              <w:t>)</w:t>
            </w:r>
            <w:r w:rsidRPr="00CA25CE">
              <w:t xml:space="preserve">. </w:t>
            </w:r>
          </w:p>
        </w:tc>
      </w:tr>
      <w:tr w:rsidR="002775B8" w:rsidRPr="00621B97" w14:paraId="50F0DA54" w14:textId="77777777" w:rsidTr="00CA25CE">
        <w:tc>
          <w:tcPr>
            <w:tcW w:w="296" w:type="pct"/>
            <w:tcBorders>
              <w:top w:val="single" w:sz="4" w:space="0" w:color="auto"/>
              <w:left w:val="single" w:sz="4" w:space="0" w:color="auto"/>
              <w:bottom w:val="single" w:sz="4" w:space="0" w:color="auto"/>
              <w:right w:val="single" w:sz="4" w:space="0" w:color="auto"/>
            </w:tcBorders>
          </w:tcPr>
          <w:p w14:paraId="31211529" w14:textId="77777777" w:rsidR="00097445" w:rsidRPr="00CA25CE" w:rsidRDefault="00097445" w:rsidP="009F0672">
            <w:pPr>
              <w:spacing w:beforeLines="60" w:before="144"/>
              <w:jc w:val="both"/>
            </w:pPr>
            <w:r w:rsidRPr="00CA25CE">
              <w:t>4.</w:t>
            </w:r>
          </w:p>
        </w:tc>
        <w:tc>
          <w:tcPr>
            <w:tcW w:w="812" w:type="pct"/>
            <w:tcBorders>
              <w:top w:val="single" w:sz="4" w:space="0" w:color="auto"/>
              <w:left w:val="single" w:sz="4" w:space="0" w:color="auto"/>
              <w:bottom w:val="single" w:sz="4" w:space="0" w:color="auto"/>
              <w:right w:val="single" w:sz="4" w:space="0" w:color="auto"/>
            </w:tcBorders>
          </w:tcPr>
          <w:p w14:paraId="5D3591B8" w14:textId="77777777" w:rsidR="00097445" w:rsidRPr="00CA25CE" w:rsidRDefault="00097445" w:rsidP="009F0672">
            <w:pPr>
              <w:spacing w:beforeLines="60" w:before="144"/>
              <w:jc w:val="both"/>
            </w:pPr>
            <w:r w:rsidRPr="00CA25CE">
              <w:t>Pasūtītāja tehniskā specifikācija, punkts Nr. 9</w:t>
            </w:r>
          </w:p>
        </w:tc>
        <w:tc>
          <w:tcPr>
            <w:tcW w:w="1992" w:type="pct"/>
            <w:tcBorders>
              <w:top w:val="single" w:sz="4" w:space="0" w:color="auto"/>
              <w:left w:val="single" w:sz="4" w:space="0" w:color="auto"/>
              <w:bottom w:val="single" w:sz="4" w:space="0" w:color="auto"/>
              <w:right w:val="single" w:sz="4" w:space="0" w:color="auto"/>
            </w:tcBorders>
          </w:tcPr>
          <w:p w14:paraId="6B243926" w14:textId="77777777" w:rsidR="00097445" w:rsidRPr="00CA25CE" w:rsidRDefault="00097445" w:rsidP="009F0672">
            <w:pPr>
              <w:autoSpaceDE w:val="0"/>
              <w:autoSpaceDN w:val="0"/>
              <w:adjustRightInd w:val="0"/>
              <w:jc w:val="both"/>
              <w:rPr>
                <w:bCs/>
                <w:i/>
              </w:rPr>
            </w:pPr>
            <w:r w:rsidRPr="00CA25CE">
              <w:rPr>
                <w:bCs/>
                <w:i/>
              </w:rPr>
              <w:t xml:space="preserve">9. Platformas saskarnes valoda </w:t>
            </w:r>
          </w:p>
          <w:p w14:paraId="67B169ED" w14:textId="77777777" w:rsidR="00097445" w:rsidRPr="00CA25CE" w:rsidRDefault="00097445" w:rsidP="009F0672">
            <w:pPr>
              <w:autoSpaceDE w:val="0"/>
              <w:autoSpaceDN w:val="0"/>
              <w:adjustRightInd w:val="0"/>
              <w:jc w:val="both"/>
              <w:rPr>
                <w:bCs/>
                <w:i/>
              </w:rPr>
            </w:pPr>
            <w:r w:rsidRPr="00CA25CE">
              <w:rPr>
                <w:bCs/>
                <w:i/>
              </w:rPr>
              <w:t>1.</w:t>
            </w:r>
            <w:r w:rsidRPr="00CA25CE">
              <w:rPr>
                <w:bCs/>
                <w:i/>
              </w:rPr>
              <w:tab/>
              <w:t>Nodrošina Platformas saskarni vismaz angļu vai latviešu valodā.</w:t>
            </w:r>
          </w:p>
          <w:p w14:paraId="1C39A482" w14:textId="77777777" w:rsidR="00097445" w:rsidRPr="00CA25CE" w:rsidRDefault="00097445" w:rsidP="00097445">
            <w:pPr>
              <w:autoSpaceDE w:val="0"/>
              <w:autoSpaceDN w:val="0"/>
              <w:adjustRightInd w:val="0"/>
              <w:spacing w:beforeLines="60" w:before="144"/>
              <w:jc w:val="both"/>
            </w:pPr>
            <w:r w:rsidRPr="00CA25CE">
              <w:rPr>
                <w:b/>
                <w:bCs/>
                <w:u w:val="single"/>
              </w:rPr>
              <w:t>Jautājums Nr.4</w:t>
            </w:r>
            <w:r w:rsidRPr="00CA25CE">
              <w:t xml:space="preserve">: Vai sistēmas saskarnes esamība latviešu un angļu valodā aizstāj prasību </w:t>
            </w:r>
            <w:r w:rsidRPr="00CA25CE">
              <w:lastRenderedPageBreak/>
              <w:t>“Nodrošina iespēju Pasūtītājam veikt Platformas saskarnes tulkošanu uz citu valodu”?</w:t>
            </w:r>
          </w:p>
        </w:tc>
        <w:tc>
          <w:tcPr>
            <w:tcW w:w="1900" w:type="pct"/>
            <w:tcBorders>
              <w:top w:val="single" w:sz="4" w:space="0" w:color="auto"/>
              <w:left w:val="single" w:sz="4" w:space="0" w:color="auto"/>
              <w:bottom w:val="single" w:sz="4" w:space="0" w:color="auto"/>
              <w:right w:val="single" w:sz="4" w:space="0" w:color="auto"/>
            </w:tcBorders>
          </w:tcPr>
          <w:p w14:paraId="6A68C8EB" w14:textId="5E54BE7E" w:rsidR="00097445" w:rsidRPr="00CA25CE" w:rsidRDefault="004C04D7" w:rsidP="002775B8">
            <w:pPr>
              <w:autoSpaceDE w:val="0"/>
              <w:autoSpaceDN w:val="0"/>
              <w:adjustRightInd w:val="0"/>
              <w:jc w:val="both"/>
              <w:rPr>
                <w:bCs/>
                <w:i/>
              </w:rPr>
            </w:pPr>
            <w:r w:rsidRPr="00CA25CE">
              <w:lastRenderedPageBreak/>
              <w:t xml:space="preserve">Piegādātājam ir jānodrošina saskarne vienā no norādītajām valodām (angļu vai latviešu), bet Pasūtītājam ir tiesības veikt sistēmas tulkošanu uz jebkuru citu valodu (ne tikai angļu vai latviešu), attiecīgi nav uzskatāms, ka prasības ir </w:t>
            </w:r>
            <w:r w:rsidR="002775B8">
              <w:t xml:space="preserve">tieši </w:t>
            </w:r>
            <w:r w:rsidRPr="00CA25CE">
              <w:t xml:space="preserve">aizstātas. </w:t>
            </w:r>
          </w:p>
        </w:tc>
      </w:tr>
      <w:tr w:rsidR="00621B97" w:rsidRPr="00621B97" w14:paraId="2D28809C" w14:textId="77777777" w:rsidTr="00CA25CE">
        <w:tc>
          <w:tcPr>
            <w:tcW w:w="296" w:type="pct"/>
            <w:tcBorders>
              <w:top w:val="single" w:sz="4" w:space="0" w:color="auto"/>
              <w:left w:val="single" w:sz="4" w:space="0" w:color="auto"/>
              <w:bottom w:val="single" w:sz="4" w:space="0" w:color="auto"/>
              <w:right w:val="single" w:sz="4" w:space="0" w:color="auto"/>
            </w:tcBorders>
          </w:tcPr>
          <w:p w14:paraId="42F4A521" w14:textId="77777777" w:rsidR="00621B97" w:rsidRPr="00CA25CE" w:rsidRDefault="00621B97" w:rsidP="00621B97">
            <w:pPr>
              <w:spacing w:beforeLines="60" w:before="144"/>
              <w:jc w:val="both"/>
            </w:pPr>
            <w:r w:rsidRPr="00CA25CE">
              <w:t>5.</w:t>
            </w:r>
          </w:p>
        </w:tc>
        <w:tc>
          <w:tcPr>
            <w:tcW w:w="812" w:type="pct"/>
            <w:tcBorders>
              <w:top w:val="single" w:sz="4" w:space="0" w:color="auto"/>
              <w:left w:val="single" w:sz="4" w:space="0" w:color="auto"/>
              <w:bottom w:val="single" w:sz="4" w:space="0" w:color="auto"/>
              <w:right w:val="single" w:sz="4" w:space="0" w:color="auto"/>
            </w:tcBorders>
          </w:tcPr>
          <w:p w14:paraId="3E6FA9F2" w14:textId="77777777" w:rsidR="00621B97" w:rsidRPr="00CA25CE" w:rsidRDefault="00621B97" w:rsidP="00621B97">
            <w:pPr>
              <w:spacing w:beforeLines="60" w:before="144"/>
              <w:jc w:val="both"/>
            </w:pPr>
            <w:r w:rsidRPr="00CA25CE">
              <w:t>Pasūtītāja tehniskā specifikācija, punkts Nr.10</w:t>
            </w:r>
          </w:p>
        </w:tc>
        <w:tc>
          <w:tcPr>
            <w:tcW w:w="1992" w:type="pct"/>
            <w:tcBorders>
              <w:top w:val="single" w:sz="4" w:space="0" w:color="auto"/>
              <w:left w:val="single" w:sz="4" w:space="0" w:color="auto"/>
              <w:bottom w:val="single" w:sz="4" w:space="0" w:color="auto"/>
              <w:right w:val="single" w:sz="4" w:space="0" w:color="auto"/>
            </w:tcBorders>
          </w:tcPr>
          <w:p w14:paraId="5CD78347" w14:textId="77777777" w:rsidR="00621B97" w:rsidRPr="00CA25CE" w:rsidRDefault="00621B97" w:rsidP="00621B97">
            <w:pPr>
              <w:autoSpaceDE w:val="0"/>
              <w:autoSpaceDN w:val="0"/>
              <w:adjustRightInd w:val="0"/>
              <w:jc w:val="both"/>
              <w:rPr>
                <w:bCs/>
                <w:i/>
              </w:rPr>
            </w:pPr>
            <w:r w:rsidRPr="00CA25CE">
              <w:rPr>
                <w:bCs/>
                <w:i/>
              </w:rPr>
              <w:t>10. Platformas satura uzturēšana un atjaunošana</w:t>
            </w:r>
          </w:p>
          <w:p w14:paraId="52D416E1" w14:textId="77777777" w:rsidR="00621B97" w:rsidRPr="00CA25CE" w:rsidRDefault="00621B97" w:rsidP="00621B97">
            <w:pPr>
              <w:autoSpaceDE w:val="0"/>
              <w:autoSpaceDN w:val="0"/>
              <w:adjustRightInd w:val="0"/>
              <w:jc w:val="both"/>
              <w:rPr>
                <w:bCs/>
                <w:i/>
              </w:rPr>
            </w:pPr>
            <w:r w:rsidRPr="00CA25CE">
              <w:rPr>
                <w:bCs/>
                <w:i/>
              </w:rPr>
              <w:t>2.</w:t>
            </w:r>
            <w:r w:rsidRPr="00CA25CE">
              <w:rPr>
                <w:bCs/>
                <w:i/>
              </w:rPr>
              <w:tab/>
              <w:t>Piegādātājs nodrošina izdevuma satura pārveidi no vismaz .pdf, .docx, .indd, .html formātiem uz ePub 2.0 formātu un/vai ePub 3.0 formātu.</w:t>
            </w:r>
          </w:p>
          <w:p w14:paraId="2D7E98A5" w14:textId="77777777" w:rsidR="00621B97" w:rsidRPr="00CA25CE" w:rsidRDefault="00621B97" w:rsidP="00621B97">
            <w:pPr>
              <w:autoSpaceDE w:val="0"/>
              <w:autoSpaceDN w:val="0"/>
              <w:adjustRightInd w:val="0"/>
              <w:spacing w:beforeLines="60" w:before="144"/>
              <w:jc w:val="both"/>
            </w:pPr>
            <w:r w:rsidRPr="00CA25CE">
              <w:rPr>
                <w:b/>
                <w:bCs/>
                <w:u w:val="single"/>
              </w:rPr>
              <w:t>Jautājums Nr.4</w:t>
            </w:r>
            <w:r w:rsidRPr="00CA25CE">
              <w:t>: Vai satura pārveides no Pasūtītāja iesniegta formāta uz ePub 2.0 vai ePub 3.0 nodrošināšanā ir plānots, ka izejas formāts varētu būt arī, piemēram, neatpazīts skenēts grāmatas teksta attēls, kas Piegādātājam būtu jāpārveido par kvalitatīvu ePub 2.0 vai ePub 3.0 teksta formātu?</w:t>
            </w:r>
          </w:p>
        </w:tc>
        <w:tc>
          <w:tcPr>
            <w:tcW w:w="1900" w:type="pct"/>
            <w:tcBorders>
              <w:top w:val="single" w:sz="4" w:space="0" w:color="auto"/>
              <w:left w:val="single" w:sz="4" w:space="0" w:color="auto"/>
              <w:bottom w:val="single" w:sz="4" w:space="0" w:color="auto"/>
              <w:right w:val="single" w:sz="4" w:space="0" w:color="auto"/>
            </w:tcBorders>
          </w:tcPr>
          <w:p w14:paraId="6CB2C2C9" w14:textId="0FFFC168" w:rsidR="00621B97" w:rsidRPr="004D6E3B" w:rsidRDefault="00621B97" w:rsidP="00621B97">
            <w:pPr>
              <w:autoSpaceDE w:val="0"/>
              <w:autoSpaceDN w:val="0"/>
              <w:adjustRightInd w:val="0"/>
              <w:spacing w:beforeLines="60" w:before="144"/>
              <w:jc w:val="both"/>
            </w:pPr>
            <w:r w:rsidRPr="004D6E3B">
              <w:t xml:space="preserve">Nav plānots no skenētas grāmatas saturu pārveidot uz ePub 2.0 vai 3.0. </w:t>
            </w:r>
            <w:r>
              <w:t xml:space="preserve">Vienumus, kuri sastāv no neatpazīta skanēta teksta attēla,  plānots ievietot </w:t>
            </w:r>
            <w:r w:rsidR="00003D6D">
              <w:t>p</w:t>
            </w:r>
            <w:r>
              <w:t>latformā</w:t>
            </w:r>
            <w:r w:rsidR="00003D6D">
              <w:t xml:space="preserve"> .</w:t>
            </w:r>
            <w:r w:rsidRPr="004D6E3B">
              <w:t xml:space="preserve">pdf formātā, nepārveidojot tās saturu. </w:t>
            </w:r>
          </w:p>
          <w:p w14:paraId="20E798D9" w14:textId="61AB6B0D" w:rsidR="00621B97" w:rsidRPr="004D6E3B" w:rsidRDefault="00621B97" w:rsidP="00621B97">
            <w:pPr>
              <w:autoSpaceDE w:val="0"/>
              <w:autoSpaceDN w:val="0"/>
              <w:adjustRightInd w:val="0"/>
              <w:spacing w:beforeLines="60" w:before="144"/>
              <w:jc w:val="both"/>
            </w:pPr>
            <w:r>
              <w:t>P</w:t>
            </w:r>
            <w:r w:rsidRPr="00D60668">
              <w:t>ārveidot uz ePub 2.0 vai 3.0</w:t>
            </w:r>
            <w:r>
              <w:t xml:space="preserve"> vajadzēs tikai dokumentus</w:t>
            </w:r>
            <w:r w:rsidRPr="00D60668">
              <w:t xml:space="preserve"> </w:t>
            </w:r>
            <w:r w:rsidRPr="004D6E3B">
              <w:t>ar kvalitatīvu saturu</w:t>
            </w:r>
            <w:r>
              <w:t xml:space="preserve"> jeb tādus, kuru saturs ir digitāli rediģējams, kopējams.</w:t>
            </w:r>
            <w:r w:rsidRPr="004D6E3B">
              <w:t xml:space="preserve"> </w:t>
            </w:r>
          </w:p>
          <w:p w14:paraId="2C7204A2" w14:textId="77777777" w:rsidR="00621B97" w:rsidRPr="00CA25CE" w:rsidRDefault="00621B97" w:rsidP="00621B97">
            <w:pPr>
              <w:autoSpaceDE w:val="0"/>
              <w:autoSpaceDN w:val="0"/>
              <w:adjustRightInd w:val="0"/>
              <w:jc w:val="both"/>
              <w:rPr>
                <w:bCs/>
                <w:i/>
              </w:rPr>
            </w:pPr>
          </w:p>
        </w:tc>
      </w:tr>
      <w:tr w:rsidR="00621B97" w:rsidRPr="00621B97" w14:paraId="314E0DED" w14:textId="77777777" w:rsidTr="00CA25CE">
        <w:tc>
          <w:tcPr>
            <w:tcW w:w="296" w:type="pct"/>
            <w:tcBorders>
              <w:top w:val="single" w:sz="4" w:space="0" w:color="auto"/>
              <w:left w:val="single" w:sz="4" w:space="0" w:color="auto"/>
              <w:bottom w:val="single" w:sz="4" w:space="0" w:color="auto"/>
              <w:right w:val="single" w:sz="4" w:space="0" w:color="auto"/>
            </w:tcBorders>
          </w:tcPr>
          <w:p w14:paraId="05DABEA3" w14:textId="77777777" w:rsidR="00621B97" w:rsidRPr="00CA25CE" w:rsidRDefault="00621B97" w:rsidP="00621B97">
            <w:pPr>
              <w:spacing w:beforeLines="60" w:before="144"/>
            </w:pPr>
            <w:r w:rsidRPr="00CA25CE">
              <w:t>6.</w:t>
            </w:r>
          </w:p>
        </w:tc>
        <w:tc>
          <w:tcPr>
            <w:tcW w:w="812" w:type="pct"/>
            <w:tcBorders>
              <w:top w:val="single" w:sz="4" w:space="0" w:color="auto"/>
              <w:left w:val="single" w:sz="4" w:space="0" w:color="auto"/>
              <w:bottom w:val="single" w:sz="4" w:space="0" w:color="auto"/>
              <w:right w:val="single" w:sz="4" w:space="0" w:color="auto"/>
            </w:tcBorders>
          </w:tcPr>
          <w:p w14:paraId="33D01E26" w14:textId="77777777" w:rsidR="00621B97" w:rsidRPr="00CA25CE" w:rsidRDefault="00621B97" w:rsidP="00621B97">
            <w:pPr>
              <w:spacing w:beforeLines="60" w:before="144"/>
            </w:pPr>
            <w:r w:rsidRPr="00CA25CE">
              <w:t xml:space="preserve">Pasūtītāja tehniskā specifikācija, </w:t>
            </w:r>
          </w:p>
          <w:p w14:paraId="522174B7" w14:textId="77777777" w:rsidR="00621B97" w:rsidRPr="00CA25CE" w:rsidRDefault="00621B97" w:rsidP="00621B97">
            <w:pPr>
              <w:spacing w:beforeLines="60" w:before="144"/>
            </w:pPr>
            <w:r w:rsidRPr="00CA25CE">
              <w:t>III Līguma nosacījumi</w:t>
            </w:r>
          </w:p>
        </w:tc>
        <w:tc>
          <w:tcPr>
            <w:tcW w:w="1992" w:type="pct"/>
            <w:tcBorders>
              <w:top w:val="single" w:sz="4" w:space="0" w:color="auto"/>
              <w:left w:val="single" w:sz="4" w:space="0" w:color="auto"/>
              <w:bottom w:val="single" w:sz="4" w:space="0" w:color="auto"/>
              <w:right w:val="single" w:sz="4" w:space="0" w:color="auto"/>
            </w:tcBorders>
          </w:tcPr>
          <w:p w14:paraId="6887734F" w14:textId="77777777" w:rsidR="00621B97" w:rsidRPr="00CA25CE" w:rsidRDefault="00621B97" w:rsidP="00621B97">
            <w:pPr>
              <w:autoSpaceDE w:val="0"/>
              <w:autoSpaceDN w:val="0"/>
              <w:adjustRightInd w:val="0"/>
              <w:jc w:val="both"/>
              <w:rPr>
                <w:bCs/>
                <w:i/>
              </w:rPr>
            </w:pPr>
            <w:r w:rsidRPr="00CA25CE">
              <w:rPr>
                <w:bCs/>
                <w:i/>
              </w:rPr>
              <w:t xml:space="preserve">Izskatot līguma nosacījumus, pretendents nav pārliecināts, ka saprot, kā tieši paredzēts ierobežot pušu atbildību. </w:t>
            </w:r>
          </w:p>
          <w:p w14:paraId="2F5F8DF1" w14:textId="77777777" w:rsidR="00621B97" w:rsidRPr="00CA25CE" w:rsidRDefault="00621B97" w:rsidP="00621B97">
            <w:pPr>
              <w:autoSpaceDE w:val="0"/>
              <w:autoSpaceDN w:val="0"/>
              <w:adjustRightInd w:val="0"/>
              <w:spacing w:beforeLines="60" w:before="144"/>
              <w:jc w:val="both"/>
            </w:pPr>
            <w:r w:rsidRPr="00CA25CE">
              <w:rPr>
                <w:b/>
                <w:bCs/>
                <w:u w:val="single"/>
              </w:rPr>
              <w:t>Jautājums Nr.5</w:t>
            </w:r>
            <w:r w:rsidRPr="00CA25CE">
              <w:t>: Vai pareizi saprotam, ka pušu tiešie zaudējumi šī līguma ietvaros (saskaņā ar punktu 3.3.) tiek ierobežoti ar 10% no galvenās saistības apmēra un pusēm nav jāatbild par netiešajiem zaudējumiem? Un atbilstoši Civillikumam, tas neattiecas uz gadījumiem, ja zaudējumi ir radušies Puses prettiesiskas rīcības (darbības vai bezdarbības) rezultātā, kam par iemeslu ir ļauns nolūks vai rupja neuzmanība?</w:t>
            </w:r>
          </w:p>
          <w:p w14:paraId="7FD53422" w14:textId="77777777" w:rsidR="00621B97" w:rsidRPr="00CA25CE" w:rsidRDefault="00621B97" w:rsidP="00621B97">
            <w:pPr>
              <w:autoSpaceDE w:val="0"/>
              <w:autoSpaceDN w:val="0"/>
              <w:adjustRightInd w:val="0"/>
              <w:jc w:val="both"/>
            </w:pPr>
            <w:r w:rsidRPr="00CA25CE">
              <w:t xml:space="preserve"> Saskaņā ar informācijas tehnoloģiju līgumu labo praksi, līgumos tiek viennozīmīgi norādīti maksimāli iespējamie zaudējumi, jo bez šīs informācijas pretendenti nevar novērtēt potenciālos projekta riskus un noteikt pamatotu piedāvājuma cenu.</w:t>
            </w:r>
          </w:p>
        </w:tc>
        <w:tc>
          <w:tcPr>
            <w:tcW w:w="1900" w:type="pct"/>
            <w:tcBorders>
              <w:top w:val="single" w:sz="4" w:space="0" w:color="auto"/>
              <w:left w:val="single" w:sz="4" w:space="0" w:color="auto"/>
              <w:bottom w:val="single" w:sz="4" w:space="0" w:color="auto"/>
              <w:right w:val="single" w:sz="4" w:space="0" w:color="auto"/>
            </w:tcBorders>
          </w:tcPr>
          <w:p w14:paraId="313DF789" w14:textId="77777777" w:rsidR="00621B97" w:rsidRPr="00CA25CE" w:rsidRDefault="00621B97" w:rsidP="00621B97">
            <w:pPr>
              <w:autoSpaceDE w:val="0"/>
              <w:autoSpaceDN w:val="0"/>
              <w:adjustRightInd w:val="0"/>
              <w:jc w:val="both"/>
              <w:rPr>
                <w:bCs/>
              </w:rPr>
            </w:pPr>
            <w:r w:rsidRPr="00CA25CE">
              <w:rPr>
                <w:bCs/>
              </w:rPr>
              <w:t xml:space="preserve">Atbilstoši Civillikuma 1716.punktam </w:t>
            </w:r>
            <w:r w:rsidRPr="00CA25CE">
              <w:rPr>
                <w:bCs/>
                <w:u w:val="single"/>
              </w:rPr>
              <w:t>l</w:t>
            </w:r>
            <w:r w:rsidRPr="00CA25CE">
              <w:rPr>
                <w:u w:val="single"/>
                <w:shd w:val="clear" w:color="auto" w:fill="FFFFFF"/>
              </w:rPr>
              <w:t>īgumsods</w:t>
            </w:r>
            <w:r w:rsidRPr="00CA25CE">
              <w:rPr>
                <w:shd w:val="clear" w:color="auto" w:fill="FFFFFF"/>
              </w:rPr>
              <w:t xml:space="preserve"> par saistību nepienācīgu izpildi vai neizpildīšanu īstā laikā (termiņā) var tikt noteikts pieaugošs, taču kopumā ne vairāk par 10 procentiem no pamatparāda vai galvenās saistības apmēra, attiecīgi līguma nosacījumos ir ietverts 3.3.punkts.</w:t>
            </w:r>
            <w:r w:rsidRPr="00CA25CE">
              <w:rPr>
                <w:bCs/>
              </w:rPr>
              <w:t xml:space="preserve"> </w:t>
            </w:r>
            <w:r w:rsidR="00CA25CE">
              <w:rPr>
                <w:bCs/>
              </w:rPr>
              <w:t>Līguma nosacījumi var tikt papildināti, neierobežojot tehniskās specifikācijas III sadaļā “Līguma nosacījumi” paredzētās Pasūtītāja tiesības, un tiks saskaņoti pirms līguma noslēgšanas.</w:t>
            </w:r>
            <w:r w:rsidR="00CA25CE" w:rsidRPr="00A36659">
              <w:rPr>
                <w:bCs/>
              </w:rPr>
              <w:t xml:space="preserve">  </w:t>
            </w:r>
          </w:p>
        </w:tc>
      </w:tr>
    </w:tbl>
    <w:p w14:paraId="1A78F7B2" w14:textId="77777777" w:rsidR="00C460CB" w:rsidRPr="001B3A71" w:rsidRDefault="00C460CB" w:rsidP="0085570F">
      <w:pPr>
        <w:rPr>
          <w:rFonts w:ascii="Book Antiqua" w:hAnsi="Book Antiqua"/>
          <w:sz w:val="22"/>
          <w:szCs w:val="22"/>
          <w:u w:val="single"/>
        </w:rPr>
      </w:pPr>
    </w:p>
    <w:sectPr w:rsidR="00C460CB" w:rsidRPr="001B3A71" w:rsidSect="00E614FC">
      <w:pgSz w:w="11906" w:h="16838" w:code="9"/>
      <w:pgMar w:top="1134" w:right="1134" w:bottom="1135"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CC17" w14:textId="77777777" w:rsidR="00002145" w:rsidRDefault="00002145">
      <w:r>
        <w:separator/>
      </w:r>
    </w:p>
  </w:endnote>
  <w:endnote w:type="continuationSeparator" w:id="0">
    <w:p w14:paraId="3C0C68F8" w14:textId="77777777" w:rsidR="00002145" w:rsidRDefault="0000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Body text">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AB7C" w14:textId="77777777" w:rsidR="00002145" w:rsidRDefault="00002145">
      <w:r>
        <w:separator/>
      </w:r>
    </w:p>
  </w:footnote>
  <w:footnote w:type="continuationSeparator" w:id="0">
    <w:p w14:paraId="7769EBD8" w14:textId="77777777" w:rsidR="00002145" w:rsidRDefault="0000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5A0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C02E18C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268110C"/>
    <w:multiLevelType w:val="hybridMultilevel"/>
    <w:tmpl w:val="7FE4D01A"/>
    <w:lvl w:ilvl="0" w:tplc="364C5C6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29E5"/>
    <w:multiLevelType w:val="hybridMultilevel"/>
    <w:tmpl w:val="403E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1613"/>
    <w:multiLevelType w:val="hybridMultilevel"/>
    <w:tmpl w:val="EE8C3414"/>
    <w:lvl w:ilvl="0" w:tplc="0409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1FB87DF2"/>
    <w:multiLevelType w:val="hybridMultilevel"/>
    <w:tmpl w:val="DB8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C3D9F"/>
    <w:multiLevelType w:val="hybridMultilevel"/>
    <w:tmpl w:val="4F329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8284B"/>
    <w:multiLevelType w:val="hybridMultilevel"/>
    <w:tmpl w:val="DB8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231A1"/>
    <w:multiLevelType w:val="hybridMultilevel"/>
    <w:tmpl w:val="39AE38C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FE2FCE"/>
    <w:multiLevelType w:val="hybridMultilevel"/>
    <w:tmpl w:val="C56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B7668"/>
    <w:multiLevelType w:val="hybridMultilevel"/>
    <w:tmpl w:val="403E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939B2"/>
    <w:multiLevelType w:val="hybridMultilevel"/>
    <w:tmpl w:val="C562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86014"/>
    <w:multiLevelType w:val="hybridMultilevel"/>
    <w:tmpl w:val="E98E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765BC"/>
    <w:multiLevelType w:val="hybridMultilevel"/>
    <w:tmpl w:val="41885B82"/>
    <w:lvl w:ilvl="0" w:tplc="2132FAF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13"/>
  </w:num>
  <w:num w:numId="6">
    <w:abstractNumId w:val="12"/>
  </w:num>
  <w:num w:numId="7">
    <w:abstractNumId w:val="11"/>
  </w:num>
  <w:num w:numId="8">
    <w:abstractNumId w:val="3"/>
  </w:num>
  <w:num w:numId="9">
    <w:abstractNumId w:val="10"/>
  </w:num>
  <w:num w:numId="10">
    <w:abstractNumId w:val="9"/>
  </w:num>
  <w:num w:numId="11">
    <w:abstractNumId w:val="0"/>
  </w:num>
  <w:num w:numId="12">
    <w:abstractNumId w:val="4"/>
  </w:num>
  <w:num w:numId="13">
    <w:abstractNumId w:val="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1"/>
    <w:rsid w:val="0000166C"/>
    <w:rsid w:val="00002145"/>
    <w:rsid w:val="00003B99"/>
    <w:rsid w:val="00003D6D"/>
    <w:rsid w:val="00005C1D"/>
    <w:rsid w:val="00012D06"/>
    <w:rsid w:val="00042E36"/>
    <w:rsid w:val="000504C8"/>
    <w:rsid w:val="00052BC5"/>
    <w:rsid w:val="0006364B"/>
    <w:rsid w:val="00063CBB"/>
    <w:rsid w:val="0006466D"/>
    <w:rsid w:val="00064BC5"/>
    <w:rsid w:val="00065740"/>
    <w:rsid w:val="00067FCB"/>
    <w:rsid w:val="00071A40"/>
    <w:rsid w:val="00072F8F"/>
    <w:rsid w:val="00075C48"/>
    <w:rsid w:val="00077B33"/>
    <w:rsid w:val="00081A31"/>
    <w:rsid w:val="000858A7"/>
    <w:rsid w:val="00086D48"/>
    <w:rsid w:val="0009020B"/>
    <w:rsid w:val="00090BA7"/>
    <w:rsid w:val="00095CCA"/>
    <w:rsid w:val="00097445"/>
    <w:rsid w:val="000A19B6"/>
    <w:rsid w:val="000A5EC0"/>
    <w:rsid w:val="000B28D2"/>
    <w:rsid w:val="000C450B"/>
    <w:rsid w:val="000C4888"/>
    <w:rsid w:val="000D158C"/>
    <w:rsid w:val="000D1721"/>
    <w:rsid w:val="000D5806"/>
    <w:rsid w:val="000E183F"/>
    <w:rsid w:val="000F068E"/>
    <w:rsid w:val="000F088E"/>
    <w:rsid w:val="000F5600"/>
    <w:rsid w:val="00110534"/>
    <w:rsid w:val="00110AF0"/>
    <w:rsid w:val="0011297F"/>
    <w:rsid w:val="00113F21"/>
    <w:rsid w:val="00114495"/>
    <w:rsid w:val="0012002B"/>
    <w:rsid w:val="00122587"/>
    <w:rsid w:val="00126422"/>
    <w:rsid w:val="00126A31"/>
    <w:rsid w:val="00131C09"/>
    <w:rsid w:val="00136233"/>
    <w:rsid w:val="0014493F"/>
    <w:rsid w:val="00145A06"/>
    <w:rsid w:val="00146446"/>
    <w:rsid w:val="001501B4"/>
    <w:rsid w:val="001638A9"/>
    <w:rsid w:val="0018590E"/>
    <w:rsid w:val="001862B1"/>
    <w:rsid w:val="00187CC2"/>
    <w:rsid w:val="001939FE"/>
    <w:rsid w:val="00193EAF"/>
    <w:rsid w:val="001A17B6"/>
    <w:rsid w:val="001B0937"/>
    <w:rsid w:val="001B3A71"/>
    <w:rsid w:val="001B6A3C"/>
    <w:rsid w:val="001C0B4E"/>
    <w:rsid w:val="001C358E"/>
    <w:rsid w:val="001D4F90"/>
    <w:rsid w:val="001D7457"/>
    <w:rsid w:val="001D7AAA"/>
    <w:rsid w:val="001E01E3"/>
    <w:rsid w:val="001E2B94"/>
    <w:rsid w:val="001E473B"/>
    <w:rsid w:val="001E476B"/>
    <w:rsid w:val="001F4D5A"/>
    <w:rsid w:val="001F6C42"/>
    <w:rsid w:val="001F7A5F"/>
    <w:rsid w:val="00203A70"/>
    <w:rsid w:val="002048D3"/>
    <w:rsid w:val="00204A4E"/>
    <w:rsid w:val="002113F8"/>
    <w:rsid w:val="0021357A"/>
    <w:rsid w:val="00220820"/>
    <w:rsid w:val="0022787B"/>
    <w:rsid w:val="002320F9"/>
    <w:rsid w:val="00232C28"/>
    <w:rsid w:val="002448B7"/>
    <w:rsid w:val="00246626"/>
    <w:rsid w:val="00250072"/>
    <w:rsid w:val="002634DA"/>
    <w:rsid w:val="002650F8"/>
    <w:rsid w:val="00267FEB"/>
    <w:rsid w:val="00272BC6"/>
    <w:rsid w:val="002775B8"/>
    <w:rsid w:val="00294FE0"/>
    <w:rsid w:val="002A00D4"/>
    <w:rsid w:val="002A2BA1"/>
    <w:rsid w:val="002A67F9"/>
    <w:rsid w:val="002B1AB8"/>
    <w:rsid w:val="002B3292"/>
    <w:rsid w:val="002B6CA9"/>
    <w:rsid w:val="002B785C"/>
    <w:rsid w:val="002C044F"/>
    <w:rsid w:val="002C7D75"/>
    <w:rsid w:val="002D1888"/>
    <w:rsid w:val="002D3773"/>
    <w:rsid w:val="002E746B"/>
    <w:rsid w:val="002E7DE7"/>
    <w:rsid w:val="002F0DDD"/>
    <w:rsid w:val="00304917"/>
    <w:rsid w:val="00310FFC"/>
    <w:rsid w:val="003142DB"/>
    <w:rsid w:val="003208BE"/>
    <w:rsid w:val="00326AB4"/>
    <w:rsid w:val="00327F20"/>
    <w:rsid w:val="00333B0F"/>
    <w:rsid w:val="003358F5"/>
    <w:rsid w:val="00336EA9"/>
    <w:rsid w:val="003438B4"/>
    <w:rsid w:val="003451A1"/>
    <w:rsid w:val="0034558C"/>
    <w:rsid w:val="003462ED"/>
    <w:rsid w:val="0034685A"/>
    <w:rsid w:val="00347BCF"/>
    <w:rsid w:val="00352DA0"/>
    <w:rsid w:val="0035575C"/>
    <w:rsid w:val="00367B1E"/>
    <w:rsid w:val="00367B39"/>
    <w:rsid w:val="003729A7"/>
    <w:rsid w:val="00380951"/>
    <w:rsid w:val="00382E22"/>
    <w:rsid w:val="00394038"/>
    <w:rsid w:val="003A12B2"/>
    <w:rsid w:val="003A14D6"/>
    <w:rsid w:val="003A3F34"/>
    <w:rsid w:val="003B03D8"/>
    <w:rsid w:val="003B1A7B"/>
    <w:rsid w:val="003C2183"/>
    <w:rsid w:val="003C3CF3"/>
    <w:rsid w:val="003D08AF"/>
    <w:rsid w:val="003D596C"/>
    <w:rsid w:val="003D716B"/>
    <w:rsid w:val="003E2DBC"/>
    <w:rsid w:val="003E38C6"/>
    <w:rsid w:val="003E5E0E"/>
    <w:rsid w:val="003F5904"/>
    <w:rsid w:val="004061D6"/>
    <w:rsid w:val="004157A7"/>
    <w:rsid w:val="00421897"/>
    <w:rsid w:val="004323A5"/>
    <w:rsid w:val="00446B31"/>
    <w:rsid w:val="0045213C"/>
    <w:rsid w:val="004535E6"/>
    <w:rsid w:val="00454D56"/>
    <w:rsid w:val="00460000"/>
    <w:rsid w:val="00467BE9"/>
    <w:rsid w:val="0047661C"/>
    <w:rsid w:val="00477D5D"/>
    <w:rsid w:val="00483545"/>
    <w:rsid w:val="004854F6"/>
    <w:rsid w:val="004A0141"/>
    <w:rsid w:val="004A5FFE"/>
    <w:rsid w:val="004A624F"/>
    <w:rsid w:val="004A74E8"/>
    <w:rsid w:val="004B39F0"/>
    <w:rsid w:val="004B7C53"/>
    <w:rsid w:val="004C04D7"/>
    <w:rsid w:val="004C7FA7"/>
    <w:rsid w:val="004D237C"/>
    <w:rsid w:val="004D520C"/>
    <w:rsid w:val="004D772F"/>
    <w:rsid w:val="004D7862"/>
    <w:rsid w:val="004E4E6F"/>
    <w:rsid w:val="004F0951"/>
    <w:rsid w:val="004F2924"/>
    <w:rsid w:val="00501769"/>
    <w:rsid w:val="005231D0"/>
    <w:rsid w:val="005278E7"/>
    <w:rsid w:val="00527B26"/>
    <w:rsid w:val="00533C50"/>
    <w:rsid w:val="005344FE"/>
    <w:rsid w:val="00535443"/>
    <w:rsid w:val="00536913"/>
    <w:rsid w:val="00542000"/>
    <w:rsid w:val="005428D8"/>
    <w:rsid w:val="0054316E"/>
    <w:rsid w:val="00543833"/>
    <w:rsid w:val="00544CAB"/>
    <w:rsid w:val="0054600C"/>
    <w:rsid w:val="00546546"/>
    <w:rsid w:val="00554171"/>
    <w:rsid w:val="00556EFC"/>
    <w:rsid w:val="00563964"/>
    <w:rsid w:val="00564E24"/>
    <w:rsid w:val="005808AE"/>
    <w:rsid w:val="00580C4E"/>
    <w:rsid w:val="00582507"/>
    <w:rsid w:val="00583BD8"/>
    <w:rsid w:val="0058502C"/>
    <w:rsid w:val="00591408"/>
    <w:rsid w:val="005939C8"/>
    <w:rsid w:val="0059605C"/>
    <w:rsid w:val="005960B6"/>
    <w:rsid w:val="005A08E8"/>
    <w:rsid w:val="005B06FE"/>
    <w:rsid w:val="005B4DF9"/>
    <w:rsid w:val="005B4F37"/>
    <w:rsid w:val="005B606F"/>
    <w:rsid w:val="005B6D18"/>
    <w:rsid w:val="005C341C"/>
    <w:rsid w:val="005C3C73"/>
    <w:rsid w:val="005D29DB"/>
    <w:rsid w:val="005E4A7D"/>
    <w:rsid w:val="005F6F74"/>
    <w:rsid w:val="00603AE0"/>
    <w:rsid w:val="006053CC"/>
    <w:rsid w:val="00606517"/>
    <w:rsid w:val="00607697"/>
    <w:rsid w:val="00617A9F"/>
    <w:rsid w:val="006208DC"/>
    <w:rsid w:val="0062150B"/>
    <w:rsid w:val="00621B97"/>
    <w:rsid w:val="00626A21"/>
    <w:rsid w:val="0063000E"/>
    <w:rsid w:val="00632FB7"/>
    <w:rsid w:val="00637ACB"/>
    <w:rsid w:val="00640C8E"/>
    <w:rsid w:val="00644612"/>
    <w:rsid w:val="006461B4"/>
    <w:rsid w:val="00653597"/>
    <w:rsid w:val="00657C94"/>
    <w:rsid w:val="006639E3"/>
    <w:rsid w:val="006719B9"/>
    <w:rsid w:val="00673440"/>
    <w:rsid w:val="0067512F"/>
    <w:rsid w:val="006754B7"/>
    <w:rsid w:val="00675930"/>
    <w:rsid w:val="00675A32"/>
    <w:rsid w:val="00676D9F"/>
    <w:rsid w:val="00682317"/>
    <w:rsid w:val="00682D62"/>
    <w:rsid w:val="0068366C"/>
    <w:rsid w:val="00683FCD"/>
    <w:rsid w:val="00692D35"/>
    <w:rsid w:val="00694391"/>
    <w:rsid w:val="006A6D2C"/>
    <w:rsid w:val="006B0E52"/>
    <w:rsid w:val="006B366C"/>
    <w:rsid w:val="006C4CBB"/>
    <w:rsid w:val="006D3DCD"/>
    <w:rsid w:val="006E0F76"/>
    <w:rsid w:val="006E2E31"/>
    <w:rsid w:val="006E425F"/>
    <w:rsid w:val="006E55EC"/>
    <w:rsid w:val="006E6DD6"/>
    <w:rsid w:val="00706551"/>
    <w:rsid w:val="00706D79"/>
    <w:rsid w:val="00707165"/>
    <w:rsid w:val="00710049"/>
    <w:rsid w:val="007248FF"/>
    <w:rsid w:val="00727E70"/>
    <w:rsid w:val="00733DE2"/>
    <w:rsid w:val="00737AA9"/>
    <w:rsid w:val="00744228"/>
    <w:rsid w:val="00745EE3"/>
    <w:rsid w:val="00757DA2"/>
    <w:rsid w:val="00760FFD"/>
    <w:rsid w:val="00761468"/>
    <w:rsid w:val="00766224"/>
    <w:rsid w:val="00771EB1"/>
    <w:rsid w:val="007726D9"/>
    <w:rsid w:val="00780878"/>
    <w:rsid w:val="00790353"/>
    <w:rsid w:val="007916B9"/>
    <w:rsid w:val="00793002"/>
    <w:rsid w:val="007A6D0F"/>
    <w:rsid w:val="007B1204"/>
    <w:rsid w:val="007B7631"/>
    <w:rsid w:val="007C192D"/>
    <w:rsid w:val="007C3A96"/>
    <w:rsid w:val="007C4862"/>
    <w:rsid w:val="007E1756"/>
    <w:rsid w:val="007E4A31"/>
    <w:rsid w:val="007E6766"/>
    <w:rsid w:val="007E695C"/>
    <w:rsid w:val="007F65E8"/>
    <w:rsid w:val="008019EE"/>
    <w:rsid w:val="00802B4A"/>
    <w:rsid w:val="0081299C"/>
    <w:rsid w:val="00821A0F"/>
    <w:rsid w:val="0082660D"/>
    <w:rsid w:val="0083799E"/>
    <w:rsid w:val="0084103C"/>
    <w:rsid w:val="008428E3"/>
    <w:rsid w:val="008474F7"/>
    <w:rsid w:val="00853BB1"/>
    <w:rsid w:val="0085570F"/>
    <w:rsid w:val="008565CF"/>
    <w:rsid w:val="00856D7B"/>
    <w:rsid w:val="008613A0"/>
    <w:rsid w:val="00885025"/>
    <w:rsid w:val="0089278B"/>
    <w:rsid w:val="008A4696"/>
    <w:rsid w:val="008A4CF8"/>
    <w:rsid w:val="008A6C6D"/>
    <w:rsid w:val="008B02AB"/>
    <w:rsid w:val="008B6760"/>
    <w:rsid w:val="008C6516"/>
    <w:rsid w:val="008D3238"/>
    <w:rsid w:val="008D3E65"/>
    <w:rsid w:val="008F0113"/>
    <w:rsid w:val="008F06AC"/>
    <w:rsid w:val="008F3FBB"/>
    <w:rsid w:val="008F71BE"/>
    <w:rsid w:val="008F72B1"/>
    <w:rsid w:val="008F7C41"/>
    <w:rsid w:val="0090386B"/>
    <w:rsid w:val="009070BB"/>
    <w:rsid w:val="00907151"/>
    <w:rsid w:val="0091058D"/>
    <w:rsid w:val="00912D74"/>
    <w:rsid w:val="00913129"/>
    <w:rsid w:val="00925334"/>
    <w:rsid w:val="00926A52"/>
    <w:rsid w:val="00930540"/>
    <w:rsid w:val="00947696"/>
    <w:rsid w:val="009478AF"/>
    <w:rsid w:val="009576AB"/>
    <w:rsid w:val="00962532"/>
    <w:rsid w:val="00971FA7"/>
    <w:rsid w:val="0097580F"/>
    <w:rsid w:val="00976B24"/>
    <w:rsid w:val="0098257E"/>
    <w:rsid w:val="00986D27"/>
    <w:rsid w:val="009A1264"/>
    <w:rsid w:val="009A1B73"/>
    <w:rsid w:val="009B02BA"/>
    <w:rsid w:val="009B36C3"/>
    <w:rsid w:val="009B530B"/>
    <w:rsid w:val="009B7BC6"/>
    <w:rsid w:val="009C06F1"/>
    <w:rsid w:val="009C1C68"/>
    <w:rsid w:val="009C2523"/>
    <w:rsid w:val="009C43B5"/>
    <w:rsid w:val="009C4CF5"/>
    <w:rsid w:val="009D23FB"/>
    <w:rsid w:val="009D2856"/>
    <w:rsid w:val="009D358D"/>
    <w:rsid w:val="009D5AD0"/>
    <w:rsid w:val="009E5D6A"/>
    <w:rsid w:val="009E608E"/>
    <w:rsid w:val="009F0672"/>
    <w:rsid w:val="009F4CE2"/>
    <w:rsid w:val="009F4D97"/>
    <w:rsid w:val="00A01618"/>
    <w:rsid w:val="00A01F5E"/>
    <w:rsid w:val="00A1052B"/>
    <w:rsid w:val="00A11C11"/>
    <w:rsid w:val="00A1598E"/>
    <w:rsid w:val="00A236B4"/>
    <w:rsid w:val="00A23C76"/>
    <w:rsid w:val="00A267DD"/>
    <w:rsid w:val="00A60188"/>
    <w:rsid w:val="00A62670"/>
    <w:rsid w:val="00A62A20"/>
    <w:rsid w:val="00A6536B"/>
    <w:rsid w:val="00A66E5D"/>
    <w:rsid w:val="00A74B9C"/>
    <w:rsid w:val="00A76F33"/>
    <w:rsid w:val="00A77595"/>
    <w:rsid w:val="00A834FE"/>
    <w:rsid w:val="00A8571A"/>
    <w:rsid w:val="00A911D7"/>
    <w:rsid w:val="00A913A3"/>
    <w:rsid w:val="00AA0BCD"/>
    <w:rsid w:val="00AA1DB5"/>
    <w:rsid w:val="00AA7F99"/>
    <w:rsid w:val="00AB12A5"/>
    <w:rsid w:val="00AB6458"/>
    <w:rsid w:val="00AD19CC"/>
    <w:rsid w:val="00AD60A7"/>
    <w:rsid w:val="00AD643C"/>
    <w:rsid w:val="00AD6860"/>
    <w:rsid w:val="00AE04F1"/>
    <w:rsid w:val="00AE1D1F"/>
    <w:rsid w:val="00AE3716"/>
    <w:rsid w:val="00AE38E3"/>
    <w:rsid w:val="00AE44B5"/>
    <w:rsid w:val="00AE6445"/>
    <w:rsid w:val="00B026AA"/>
    <w:rsid w:val="00B0657B"/>
    <w:rsid w:val="00B103D2"/>
    <w:rsid w:val="00B117E1"/>
    <w:rsid w:val="00B24F91"/>
    <w:rsid w:val="00B345DA"/>
    <w:rsid w:val="00B35C72"/>
    <w:rsid w:val="00B445E3"/>
    <w:rsid w:val="00B50D71"/>
    <w:rsid w:val="00B6261E"/>
    <w:rsid w:val="00B62BA1"/>
    <w:rsid w:val="00B65907"/>
    <w:rsid w:val="00B774AE"/>
    <w:rsid w:val="00B80742"/>
    <w:rsid w:val="00B8085B"/>
    <w:rsid w:val="00B80F63"/>
    <w:rsid w:val="00B84A93"/>
    <w:rsid w:val="00B92B9A"/>
    <w:rsid w:val="00BA6E11"/>
    <w:rsid w:val="00BB27C5"/>
    <w:rsid w:val="00BB3C39"/>
    <w:rsid w:val="00BB5EFD"/>
    <w:rsid w:val="00BC1F4F"/>
    <w:rsid w:val="00BC7A18"/>
    <w:rsid w:val="00BD4D8C"/>
    <w:rsid w:val="00BD5D6C"/>
    <w:rsid w:val="00BD7EEA"/>
    <w:rsid w:val="00BF519F"/>
    <w:rsid w:val="00C06943"/>
    <w:rsid w:val="00C07956"/>
    <w:rsid w:val="00C07BC3"/>
    <w:rsid w:val="00C1774C"/>
    <w:rsid w:val="00C2014F"/>
    <w:rsid w:val="00C21A11"/>
    <w:rsid w:val="00C2232C"/>
    <w:rsid w:val="00C22357"/>
    <w:rsid w:val="00C2578B"/>
    <w:rsid w:val="00C338DB"/>
    <w:rsid w:val="00C3551C"/>
    <w:rsid w:val="00C4146E"/>
    <w:rsid w:val="00C460CB"/>
    <w:rsid w:val="00C477DB"/>
    <w:rsid w:val="00C566A8"/>
    <w:rsid w:val="00C622BD"/>
    <w:rsid w:val="00C62F15"/>
    <w:rsid w:val="00C73B23"/>
    <w:rsid w:val="00C74D48"/>
    <w:rsid w:val="00C75A6D"/>
    <w:rsid w:val="00C823EF"/>
    <w:rsid w:val="00CA1382"/>
    <w:rsid w:val="00CA25CE"/>
    <w:rsid w:val="00CA3542"/>
    <w:rsid w:val="00CB15A7"/>
    <w:rsid w:val="00CB19B1"/>
    <w:rsid w:val="00CB38FA"/>
    <w:rsid w:val="00CD35F7"/>
    <w:rsid w:val="00CE4A63"/>
    <w:rsid w:val="00CE7380"/>
    <w:rsid w:val="00CF1FAE"/>
    <w:rsid w:val="00D02D30"/>
    <w:rsid w:val="00D03395"/>
    <w:rsid w:val="00D04DF4"/>
    <w:rsid w:val="00D10677"/>
    <w:rsid w:val="00D126E8"/>
    <w:rsid w:val="00D16560"/>
    <w:rsid w:val="00D16903"/>
    <w:rsid w:val="00D25EDF"/>
    <w:rsid w:val="00D2693C"/>
    <w:rsid w:val="00D26974"/>
    <w:rsid w:val="00D40C4D"/>
    <w:rsid w:val="00D42921"/>
    <w:rsid w:val="00D4691C"/>
    <w:rsid w:val="00D51B4C"/>
    <w:rsid w:val="00D5365C"/>
    <w:rsid w:val="00D53AB3"/>
    <w:rsid w:val="00D6017E"/>
    <w:rsid w:val="00D64455"/>
    <w:rsid w:val="00D721F7"/>
    <w:rsid w:val="00D76E76"/>
    <w:rsid w:val="00D965C9"/>
    <w:rsid w:val="00DA1A6E"/>
    <w:rsid w:val="00DA6AF2"/>
    <w:rsid w:val="00DB41BA"/>
    <w:rsid w:val="00DC07A9"/>
    <w:rsid w:val="00DC1D50"/>
    <w:rsid w:val="00DC6D64"/>
    <w:rsid w:val="00DD5F03"/>
    <w:rsid w:val="00DE24E1"/>
    <w:rsid w:val="00DE49F7"/>
    <w:rsid w:val="00DE691F"/>
    <w:rsid w:val="00DE6D8B"/>
    <w:rsid w:val="00DE720B"/>
    <w:rsid w:val="00E00CAA"/>
    <w:rsid w:val="00E01E67"/>
    <w:rsid w:val="00E01EFF"/>
    <w:rsid w:val="00E04F9D"/>
    <w:rsid w:val="00E06B10"/>
    <w:rsid w:val="00E11EE6"/>
    <w:rsid w:val="00E12788"/>
    <w:rsid w:val="00E15FB0"/>
    <w:rsid w:val="00E172F3"/>
    <w:rsid w:val="00E17E05"/>
    <w:rsid w:val="00E21A8A"/>
    <w:rsid w:val="00E23718"/>
    <w:rsid w:val="00E269FB"/>
    <w:rsid w:val="00E27449"/>
    <w:rsid w:val="00E32592"/>
    <w:rsid w:val="00E407F0"/>
    <w:rsid w:val="00E41BDE"/>
    <w:rsid w:val="00E42C80"/>
    <w:rsid w:val="00E56EC2"/>
    <w:rsid w:val="00E614FC"/>
    <w:rsid w:val="00E644E9"/>
    <w:rsid w:val="00E659F1"/>
    <w:rsid w:val="00E66170"/>
    <w:rsid w:val="00E72393"/>
    <w:rsid w:val="00E75083"/>
    <w:rsid w:val="00E878BA"/>
    <w:rsid w:val="00E93488"/>
    <w:rsid w:val="00E93D1E"/>
    <w:rsid w:val="00EA278F"/>
    <w:rsid w:val="00EA27B9"/>
    <w:rsid w:val="00EA5539"/>
    <w:rsid w:val="00EB479B"/>
    <w:rsid w:val="00EB5BEF"/>
    <w:rsid w:val="00EB66F4"/>
    <w:rsid w:val="00EC0A26"/>
    <w:rsid w:val="00EC1494"/>
    <w:rsid w:val="00EC5D9D"/>
    <w:rsid w:val="00ED68C2"/>
    <w:rsid w:val="00EE1377"/>
    <w:rsid w:val="00EE681E"/>
    <w:rsid w:val="00EE6EAE"/>
    <w:rsid w:val="00EF06B4"/>
    <w:rsid w:val="00EF1257"/>
    <w:rsid w:val="00EF2621"/>
    <w:rsid w:val="00EF7D2F"/>
    <w:rsid w:val="00F00E3B"/>
    <w:rsid w:val="00F01093"/>
    <w:rsid w:val="00F07678"/>
    <w:rsid w:val="00F11A97"/>
    <w:rsid w:val="00F21E11"/>
    <w:rsid w:val="00F26B5B"/>
    <w:rsid w:val="00F31983"/>
    <w:rsid w:val="00F32A22"/>
    <w:rsid w:val="00F37AD2"/>
    <w:rsid w:val="00F45F4D"/>
    <w:rsid w:val="00F52E4E"/>
    <w:rsid w:val="00F53428"/>
    <w:rsid w:val="00F547E8"/>
    <w:rsid w:val="00F56197"/>
    <w:rsid w:val="00F5680A"/>
    <w:rsid w:val="00F57FED"/>
    <w:rsid w:val="00F621BE"/>
    <w:rsid w:val="00F83913"/>
    <w:rsid w:val="00F85E24"/>
    <w:rsid w:val="00F91C82"/>
    <w:rsid w:val="00FA10D0"/>
    <w:rsid w:val="00FA1ADE"/>
    <w:rsid w:val="00FA2639"/>
    <w:rsid w:val="00FA4AEB"/>
    <w:rsid w:val="00FB129D"/>
    <w:rsid w:val="00FB3526"/>
    <w:rsid w:val="00FB3F26"/>
    <w:rsid w:val="00FD1BEC"/>
    <w:rsid w:val="00FE570F"/>
    <w:rsid w:val="00FE64AF"/>
    <w:rsid w:val="00FF100A"/>
    <w:rsid w:val="00FF3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DCE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Section Heading"/>
    <w:basedOn w:val="Normal"/>
    <w:next w:val="Normal"/>
    <w:qFormat/>
    <w:pPr>
      <w:keepNext/>
      <w:keepLines/>
      <w:pageBreakBefore/>
      <w:numPr>
        <w:numId w:val="1"/>
      </w:numPr>
      <w:pBdr>
        <w:top w:val="single" w:sz="48" w:space="1" w:color="auto"/>
      </w:pBdr>
      <w:overflowPunct w:val="0"/>
      <w:autoSpaceDE w:val="0"/>
      <w:autoSpaceDN w:val="0"/>
      <w:adjustRightInd w:val="0"/>
      <w:spacing w:before="240" w:after="240"/>
      <w:jc w:val="both"/>
      <w:textAlignment w:val="baseline"/>
      <w:outlineLvl w:val="0"/>
    </w:pPr>
    <w:rPr>
      <w:rFonts w:ascii="Book Antiqua" w:hAnsi="Book Antiqua"/>
      <w:b/>
      <w:kern w:val="28"/>
      <w:sz w:val="36"/>
      <w:szCs w:val="20"/>
    </w:rPr>
  </w:style>
  <w:style w:type="paragraph" w:styleId="Heading2">
    <w:name w:val="heading 2"/>
    <w:aliases w:val="Reset numbering"/>
    <w:basedOn w:val="Normal"/>
    <w:next w:val="Normal"/>
    <w:autoRedefine/>
    <w:qFormat/>
    <w:pPr>
      <w:keepNext/>
      <w:keepLines/>
      <w:numPr>
        <w:ilvl w:val="1"/>
        <w:numId w:val="1"/>
      </w:numPr>
      <w:overflowPunct w:val="0"/>
      <w:autoSpaceDE w:val="0"/>
      <w:autoSpaceDN w:val="0"/>
      <w:adjustRightInd w:val="0"/>
      <w:spacing w:before="240"/>
      <w:jc w:val="both"/>
      <w:textAlignment w:val="baseline"/>
      <w:outlineLvl w:val="1"/>
    </w:pPr>
    <w:rPr>
      <w:rFonts w:ascii="Arial" w:hAnsi="Arial"/>
      <w:b/>
      <w:sz w:val="28"/>
      <w:szCs w:val="20"/>
    </w:rPr>
  </w:style>
  <w:style w:type="paragraph" w:styleId="Heading3">
    <w:name w:val="heading 3"/>
    <w:aliases w:val="hd3,h3"/>
    <w:basedOn w:val="Normal"/>
    <w:next w:val="Normal"/>
    <w:autoRedefine/>
    <w:qFormat/>
    <w:pPr>
      <w:keepNext/>
      <w:keepLines/>
      <w:numPr>
        <w:ilvl w:val="2"/>
        <w:numId w:val="1"/>
      </w:numPr>
      <w:overflowPunct w:val="0"/>
      <w:autoSpaceDE w:val="0"/>
      <w:autoSpaceDN w:val="0"/>
      <w:adjustRightInd w:val="0"/>
      <w:spacing w:before="240" w:after="60"/>
      <w:textAlignment w:val="baseline"/>
      <w:outlineLvl w:val="2"/>
    </w:pPr>
    <w:rPr>
      <w:rFonts w:ascii="Arial" w:hAnsi="Arial" w:cs="Arial"/>
      <w:b/>
      <w:sz w:val="22"/>
      <w:szCs w:val="20"/>
      <w:lang w:val="en-GB"/>
    </w:rPr>
  </w:style>
  <w:style w:type="paragraph" w:styleId="Heading4">
    <w:name w:val="heading 4"/>
    <w:basedOn w:val="Normal"/>
    <w:next w:val="Normal"/>
    <w:autoRedefine/>
    <w:qFormat/>
    <w:pPr>
      <w:keepNext/>
      <w:numPr>
        <w:ilvl w:val="3"/>
        <w:numId w:val="1"/>
      </w:numPr>
      <w:outlineLvl w:val="3"/>
    </w:pPr>
    <w:rPr>
      <w:rFonts w:ascii="Arial" w:hAnsi="Arial"/>
      <w:bCs/>
      <w:lang w:val="en-US"/>
    </w:rPr>
  </w:style>
  <w:style w:type="paragraph" w:styleId="Heading5">
    <w:name w:val="heading 5"/>
    <w:basedOn w:val="Normal"/>
    <w:next w:val="Normal"/>
    <w:autoRedefine/>
    <w:qFormat/>
    <w:pPr>
      <w:numPr>
        <w:ilvl w:val="4"/>
        <w:numId w:val="1"/>
      </w:numPr>
      <w:spacing w:before="240" w:after="60"/>
      <w:outlineLvl w:val="4"/>
    </w:pPr>
    <w:rPr>
      <w:rFonts w:ascii="Arial" w:hAnsi="Arial"/>
      <w:b/>
      <w:bCs/>
      <w:iCs/>
      <w:sz w:val="20"/>
      <w:szCs w:val="26"/>
      <w:lang w:val="en-US"/>
    </w:rPr>
  </w:style>
  <w:style w:type="paragraph" w:styleId="Heading6">
    <w:name w:val="heading 6"/>
    <w:basedOn w:val="Normal"/>
    <w:next w:val="Normal"/>
    <w:qFormat/>
    <w:pPr>
      <w:keepNext/>
      <w:jc w:val="right"/>
      <w:outlineLvl w:val="5"/>
    </w:pPr>
    <w:rPr>
      <w:b/>
      <w:bCs/>
      <w:szCs w:val="28"/>
    </w:rPr>
  </w:style>
  <w:style w:type="paragraph" w:styleId="Heading7">
    <w:name w:val="heading 7"/>
    <w:basedOn w:val="Normal"/>
    <w:next w:val="Normal"/>
    <w:qFormat/>
    <w:pPr>
      <w:keepNext/>
      <w:jc w:val="righ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0">
    <w:name w:val="Heading5"/>
    <w:basedOn w:val="Normal"/>
    <w:autoRedefine/>
    <w:rPr>
      <w:sz w:val="28"/>
    </w:rPr>
  </w:style>
  <w:style w:type="paragraph" w:customStyle="1" w:styleId="HeadingBar">
    <w:name w:val="Heading Bar"/>
    <w:basedOn w:val="Normal"/>
    <w:next w:val="Heading2"/>
    <w:pPr>
      <w:keepNext/>
      <w:shd w:val="solid" w:color="auto" w:fill="auto"/>
      <w:spacing w:before="240"/>
      <w:ind w:right="7938"/>
    </w:pPr>
    <w:rPr>
      <w:rFonts w:ascii="Body text" w:hAnsi="Body text"/>
      <w:color w:val="FFFFFF"/>
      <w:sz w:val="8"/>
      <w:szCs w:val="20"/>
      <w:lang w:val="en-US"/>
    </w:rPr>
  </w:style>
  <w:style w:type="paragraph" w:styleId="TOC2">
    <w:name w:val="toc 2"/>
    <w:basedOn w:val="Normal"/>
    <w:next w:val="Normal"/>
    <w:semiHidden/>
    <w:pPr>
      <w:ind w:left="1418"/>
    </w:pPr>
    <w:rPr>
      <w:rFonts w:ascii="Book Antiqua" w:hAnsi="Book Antiqua"/>
      <w:b/>
    </w:rPr>
  </w:style>
  <w:style w:type="paragraph" w:styleId="TOC3">
    <w:name w:val="toc 3"/>
    <w:basedOn w:val="Normal"/>
    <w:next w:val="Normal"/>
    <w:autoRedefine/>
    <w:semiHidden/>
    <w:pPr>
      <w:ind w:left="1701"/>
    </w:pPr>
    <w:rPr>
      <w:rFonts w:ascii="Book Antiqua" w:hAnsi="Book Antiqua"/>
      <w:b/>
      <w:sz w:val="22"/>
    </w:rPr>
  </w:style>
  <w:style w:type="paragraph" w:styleId="TOC4">
    <w:name w:val="toc 4"/>
    <w:basedOn w:val="Normal"/>
    <w:next w:val="Normal"/>
    <w:semiHidden/>
    <w:pPr>
      <w:ind w:left="720"/>
    </w:pPr>
    <w:rPr>
      <w:rFonts w:ascii="Book Antiqua" w:hAnsi="Book Antiqua"/>
      <w:b/>
      <w:sz w:val="20"/>
    </w:rPr>
  </w:style>
  <w:style w:type="paragraph" w:styleId="TOC1">
    <w:name w:val="toc 1"/>
    <w:basedOn w:val="Normal"/>
    <w:next w:val="Normal"/>
    <w:semiHidden/>
    <w:pPr>
      <w:ind w:left="1134"/>
      <w:outlineLvl w:val="0"/>
    </w:pPr>
    <w:rPr>
      <w:rFonts w:ascii="Book Antiqua" w:hAnsi="Book Antiqua"/>
      <w:b/>
      <w:sz w:val="28"/>
    </w:rPr>
  </w:style>
  <w:style w:type="paragraph" w:styleId="TOC5">
    <w:name w:val="toc 5"/>
    <w:basedOn w:val="Normal"/>
    <w:next w:val="Normal"/>
    <w:semiHidden/>
    <w:pPr>
      <w:ind w:left="960"/>
    </w:pPr>
    <w:rPr>
      <w:rFonts w:ascii="Book Antiqua" w:hAnsi="Book Antiqua"/>
      <w:sz w:val="20"/>
    </w:rPr>
  </w:style>
  <w:style w:type="paragraph" w:customStyle="1" w:styleId="Style1">
    <w:name w:val="Style1"/>
    <w:basedOn w:val="HeadingBar"/>
    <w:next w:val="HeadingBar"/>
    <w:pPr>
      <w:ind w:right="9639"/>
    </w:pPr>
    <w:rPr>
      <w:rFonts w:ascii="Book Antiqua" w:hAnsi="Book Antiqua"/>
    </w:rPr>
  </w:style>
  <w:style w:type="paragraph" w:styleId="Title">
    <w:name w:val="Title"/>
    <w:basedOn w:val="Normal"/>
    <w:qFormat/>
    <w:pPr>
      <w:overflowPunct w:val="0"/>
      <w:autoSpaceDE w:val="0"/>
      <w:autoSpaceDN w:val="0"/>
      <w:adjustRightInd w:val="0"/>
      <w:spacing w:before="240" w:after="60"/>
      <w:jc w:val="center"/>
      <w:textAlignment w:val="baseline"/>
    </w:pPr>
    <w:rPr>
      <w:rFonts w:ascii="Arial" w:hAnsi="Arial"/>
      <w:b/>
      <w:kern w:val="28"/>
      <w:sz w:val="48"/>
      <w:szCs w:val="20"/>
    </w:rPr>
  </w:style>
  <w:style w:type="paragraph" w:styleId="NormalWeb">
    <w:name w:val="Normal (Web)"/>
    <w:basedOn w:val="Normal"/>
    <w:pPr>
      <w:spacing w:before="100" w:beforeAutospacing="1" w:after="100" w:afterAutospacing="1"/>
    </w:pPr>
    <w:rPr>
      <w:lang w:val="en-GB"/>
    </w:rPr>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sz w:val="22"/>
    </w:rPr>
  </w:style>
  <w:style w:type="paragraph" w:customStyle="1" w:styleId="CharCharChar">
    <w:name w:val="Char Char Char"/>
    <w:basedOn w:val="Normal"/>
    <w:rsid w:val="007E4A31"/>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CB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129"/>
    <w:pPr>
      <w:tabs>
        <w:tab w:val="center" w:pos="4153"/>
        <w:tab w:val="right" w:pos="8306"/>
      </w:tabs>
    </w:pPr>
  </w:style>
  <w:style w:type="paragraph" w:styleId="Footer">
    <w:name w:val="footer"/>
    <w:basedOn w:val="Normal"/>
    <w:link w:val="FooterChar"/>
    <w:uiPriority w:val="99"/>
    <w:rsid w:val="00913129"/>
    <w:pPr>
      <w:tabs>
        <w:tab w:val="center" w:pos="4153"/>
        <w:tab w:val="right" w:pos="8306"/>
      </w:tabs>
    </w:pPr>
  </w:style>
  <w:style w:type="character" w:styleId="PageNumber">
    <w:name w:val="page number"/>
    <w:basedOn w:val="DefaultParagraphFont"/>
    <w:rsid w:val="00072F8F"/>
  </w:style>
  <w:style w:type="paragraph" w:customStyle="1" w:styleId="ColorfulList-Accent11">
    <w:name w:val="Colorful List - Accent 11"/>
    <w:basedOn w:val="Normal"/>
    <w:uiPriority w:val="34"/>
    <w:qFormat/>
    <w:rsid w:val="00706D79"/>
    <w:pPr>
      <w:ind w:left="720"/>
    </w:pPr>
  </w:style>
  <w:style w:type="paragraph" w:styleId="BalloonText">
    <w:name w:val="Balloon Text"/>
    <w:basedOn w:val="Normal"/>
    <w:link w:val="BalloonTextChar"/>
    <w:rsid w:val="00760FFD"/>
    <w:rPr>
      <w:rFonts w:ascii="Tahoma" w:hAnsi="Tahoma"/>
      <w:sz w:val="16"/>
      <w:szCs w:val="16"/>
      <w:lang w:val="x-none"/>
    </w:rPr>
  </w:style>
  <w:style w:type="character" w:customStyle="1" w:styleId="BalloonTextChar">
    <w:name w:val="Balloon Text Char"/>
    <w:link w:val="BalloonText"/>
    <w:rsid w:val="00760FFD"/>
    <w:rPr>
      <w:rFonts w:ascii="Tahoma" w:hAnsi="Tahoma" w:cs="Tahoma"/>
      <w:sz w:val="16"/>
      <w:szCs w:val="16"/>
      <w:lang w:eastAsia="en-US"/>
    </w:rPr>
  </w:style>
  <w:style w:type="paragraph" w:styleId="EndnoteText">
    <w:name w:val="endnote text"/>
    <w:basedOn w:val="Normal"/>
    <w:link w:val="EndnoteTextChar"/>
    <w:rsid w:val="00C566A8"/>
    <w:rPr>
      <w:sz w:val="20"/>
      <w:szCs w:val="20"/>
      <w:lang w:eastAsia="x-none"/>
    </w:rPr>
  </w:style>
  <w:style w:type="character" w:customStyle="1" w:styleId="EndnoteTextChar">
    <w:name w:val="Endnote Text Char"/>
    <w:link w:val="EndnoteText"/>
    <w:rsid w:val="00C566A8"/>
    <w:rPr>
      <w:lang w:val="lv-LV"/>
    </w:rPr>
  </w:style>
  <w:style w:type="character" w:styleId="EndnoteReference">
    <w:name w:val="endnote reference"/>
    <w:rsid w:val="00C566A8"/>
    <w:rPr>
      <w:vertAlign w:val="superscript"/>
    </w:rPr>
  </w:style>
  <w:style w:type="character" w:styleId="Hyperlink">
    <w:name w:val="Hyperlink"/>
    <w:rsid w:val="00E614FC"/>
    <w:rPr>
      <w:color w:val="0000FF"/>
      <w:u w:val="single"/>
    </w:rPr>
  </w:style>
  <w:style w:type="character" w:styleId="CommentReference">
    <w:name w:val="annotation reference"/>
    <w:rsid w:val="00097445"/>
    <w:rPr>
      <w:sz w:val="16"/>
      <w:szCs w:val="16"/>
    </w:rPr>
  </w:style>
  <w:style w:type="paragraph" w:styleId="CommentText">
    <w:name w:val="annotation text"/>
    <w:basedOn w:val="Normal"/>
    <w:link w:val="CommentTextChar"/>
    <w:rsid w:val="00097445"/>
    <w:rPr>
      <w:sz w:val="20"/>
      <w:szCs w:val="20"/>
    </w:rPr>
  </w:style>
  <w:style w:type="character" w:customStyle="1" w:styleId="CommentTextChar">
    <w:name w:val="Comment Text Char"/>
    <w:link w:val="CommentText"/>
    <w:rsid w:val="00097445"/>
    <w:rPr>
      <w:lang w:eastAsia="en-US"/>
    </w:rPr>
  </w:style>
  <w:style w:type="paragraph" w:styleId="CommentSubject">
    <w:name w:val="annotation subject"/>
    <w:basedOn w:val="CommentText"/>
    <w:next w:val="CommentText"/>
    <w:link w:val="CommentSubjectChar"/>
    <w:rsid w:val="00097445"/>
    <w:rPr>
      <w:b/>
      <w:bCs/>
    </w:rPr>
  </w:style>
  <w:style w:type="character" w:customStyle="1" w:styleId="CommentSubjectChar">
    <w:name w:val="Comment Subject Char"/>
    <w:link w:val="CommentSubject"/>
    <w:rsid w:val="00097445"/>
    <w:rPr>
      <w:b/>
      <w:bCs/>
      <w:lang w:eastAsia="en-US"/>
    </w:rPr>
  </w:style>
  <w:style w:type="character" w:customStyle="1" w:styleId="FooterChar">
    <w:name w:val="Footer Char"/>
    <w:link w:val="Footer"/>
    <w:uiPriority w:val="99"/>
    <w:rsid w:val="002775B8"/>
    <w:rPr>
      <w:sz w:val="24"/>
      <w:szCs w:val="24"/>
      <w:lang w:eastAsia="en-US"/>
    </w:rPr>
  </w:style>
  <w:style w:type="paragraph" w:styleId="Revision">
    <w:name w:val="Revision"/>
    <w:hidden/>
    <w:uiPriority w:val="99"/>
    <w:semiHidden/>
    <w:rsid w:val="00621B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2366">
      <w:bodyDiv w:val="1"/>
      <w:marLeft w:val="0"/>
      <w:marRight w:val="0"/>
      <w:marTop w:val="0"/>
      <w:marBottom w:val="0"/>
      <w:divBdr>
        <w:top w:val="none" w:sz="0" w:space="0" w:color="auto"/>
        <w:left w:val="none" w:sz="0" w:space="0" w:color="auto"/>
        <w:bottom w:val="none" w:sz="0" w:space="0" w:color="auto"/>
        <w:right w:val="none" w:sz="0" w:space="0" w:color="auto"/>
      </w:divBdr>
    </w:div>
    <w:div w:id="1529945940">
      <w:bodyDiv w:val="1"/>
      <w:marLeft w:val="0"/>
      <w:marRight w:val="0"/>
      <w:marTop w:val="0"/>
      <w:marBottom w:val="0"/>
      <w:divBdr>
        <w:top w:val="none" w:sz="0" w:space="0" w:color="auto"/>
        <w:left w:val="none" w:sz="0" w:space="0" w:color="auto"/>
        <w:bottom w:val="none" w:sz="0" w:space="0" w:color="auto"/>
        <w:right w:val="none" w:sz="0" w:space="0" w:color="auto"/>
      </w:divBdr>
    </w:div>
    <w:div w:id="1726371156">
      <w:bodyDiv w:val="1"/>
      <w:marLeft w:val="0"/>
      <w:marRight w:val="0"/>
      <w:marTop w:val="0"/>
      <w:marBottom w:val="0"/>
      <w:divBdr>
        <w:top w:val="none" w:sz="0" w:space="0" w:color="auto"/>
        <w:left w:val="none" w:sz="0" w:space="0" w:color="auto"/>
        <w:bottom w:val="none" w:sz="0" w:space="0" w:color="auto"/>
        <w:right w:val="none" w:sz="0" w:space="0" w:color="auto"/>
      </w:divBdr>
    </w:div>
    <w:div w:id="1799912112">
      <w:bodyDiv w:val="1"/>
      <w:marLeft w:val="0"/>
      <w:marRight w:val="0"/>
      <w:marTop w:val="0"/>
      <w:marBottom w:val="0"/>
      <w:divBdr>
        <w:top w:val="none" w:sz="0" w:space="0" w:color="auto"/>
        <w:left w:val="none" w:sz="0" w:space="0" w:color="auto"/>
        <w:bottom w:val="none" w:sz="0" w:space="0" w:color="auto"/>
        <w:right w:val="none" w:sz="0" w:space="0" w:color="auto"/>
      </w:divBdr>
    </w:div>
    <w:div w:id="1899901042">
      <w:bodyDiv w:val="1"/>
      <w:marLeft w:val="0"/>
      <w:marRight w:val="0"/>
      <w:marTop w:val="0"/>
      <w:marBottom w:val="0"/>
      <w:divBdr>
        <w:top w:val="none" w:sz="0" w:space="0" w:color="auto"/>
        <w:left w:val="none" w:sz="0" w:space="0" w:color="auto"/>
        <w:bottom w:val="none" w:sz="0" w:space="0" w:color="auto"/>
        <w:right w:val="none" w:sz="0" w:space="0" w:color="auto"/>
      </w:divBdr>
    </w:div>
    <w:div w:id="2001158379">
      <w:bodyDiv w:val="1"/>
      <w:marLeft w:val="0"/>
      <w:marRight w:val="0"/>
      <w:marTop w:val="0"/>
      <w:marBottom w:val="0"/>
      <w:divBdr>
        <w:top w:val="none" w:sz="0" w:space="0" w:color="auto"/>
        <w:left w:val="none" w:sz="0" w:space="0" w:color="auto"/>
        <w:bottom w:val="none" w:sz="0" w:space="0" w:color="auto"/>
        <w:right w:val="none" w:sz="0" w:space="0" w:color="auto"/>
      </w:divBdr>
    </w:div>
    <w:div w:id="2026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AA9C-EBEB-4CA1-BAB5-96FA025E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5147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2016-09-28T07:08:00Z</dcterms:created>
  <dcterms:modified xsi:type="dcterms:W3CDTF">2016-09-28T07:08:00Z</dcterms:modified>
</cp:coreProperties>
</file>