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50"/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5400EE" w:rsidTr="00834C86">
        <w:trPr>
          <w:trHeight w:val="4770"/>
        </w:trPr>
        <w:tc>
          <w:tcPr>
            <w:tcW w:w="10170" w:type="dxa"/>
            <w:shd w:val="clear" w:color="auto" w:fill="auto"/>
          </w:tcPr>
          <w:p w:rsidR="005806F6" w:rsidRPr="005400EE" w:rsidRDefault="005400EE" w:rsidP="00834C86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Atklāts konkurss</w:t>
            </w:r>
          </w:p>
          <w:p w:rsidR="00AF2C31" w:rsidRPr="00AF2C31" w:rsidRDefault="005806F6" w:rsidP="00834C86">
            <w:pPr>
              <w:jc w:val="center"/>
              <w:rPr>
                <w:b/>
                <w:lang w:val="lv-LV"/>
              </w:rPr>
            </w:pPr>
            <w:r w:rsidRPr="00220520">
              <w:rPr>
                <w:b/>
              </w:rPr>
              <w:t>“</w:t>
            </w:r>
            <w:r w:rsidR="00AF2C31" w:rsidRPr="00AF2C31">
              <w:rPr>
                <w:b/>
                <w:lang w:val="lv-LV"/>
              </w:rPr>
              <w:t xml:space="preserve">Serveru komplektu un </w:t>
            </w:r>
          </w:p>
          <w:p w:rsidR="00AF2C31" w:rsidRPr="00AF2C31" w:rsidRDefault="00AF2C31" w:rsidP="00834C86">
            <w:pPr>
              <w:jc w:val="center"/>
              <w:rPr>
                <w:b/>
                <w:lang w:val="lv-LV"/>
              </w:rPr>
            </w:pPr>
            <w:r w:rsidRPr="00AF2C31">
              <w:rPr>
                <w:b/>
                <w:lang w:val="lv-LV"/>
              </w:rPr>
              <w:t xml:space="preserve">serveru skapja komplektu piegāde ERAF projekta „(IKSA-CENTRS) Informācijas, komunikāciju un </w:t>
            </w:r>
            <w:proofErr w:type="spellStart"/>
            <w:r w:rsidRPr="00AF2C31">
              <w:rPr>
                <w:b/>
                <w:lang w:val="lv-LV"/>
              </w:rPr>
              <w:t>signālapstrādes</w:t>
            </w:r>
            <w:proofErr w:type="spellEnd"/>
            <w:r w:rsidRPr="00AF2C31">
              <w:rPr>
                <w:b/>
                <w:lang w:val="lv-LV"/>
              </w:rPr>
              <w:t xml:space="preserve"> tehnoloģiju valsts nozīmes pētniecības centra izveide”, </w:t>
            </w:r>
          </w:p>
          <w:p w:rsidR="005806F6" w:rsidRPr="00220520" w:rsidRDefault="00AF2C31" w:rsidP="00834C86">
            <w:pPr>
              <w:jc w:val="center"/>
              <w:rPr>
                <w:b/>
                <w:lang w:eastAsia="x-none"/>
              </w:rPr>
            </w:pPr>
            <w:r w:rsidRPr="00AF2C31">
              <w:rPr>
                <w:b/>
                <w:lang w:val="lv-LV"/>
              </w:rPr>
              <w:t>vienošanās Nr. 2011/0044/2DP/2.1.1.3.1/11/IPIA/VIAA/006, ietvaros</w:t>
            </w:r>
            <w:r w:rsidR="005806F6" w:rsidRPr="00220520">
              <w:rPr>
                <w:b/>
              </w:rPr>
              <w:t>”</w:t>
            </w:r>
          </w:p>
          <w:p w:rsidR="005806F6" w:rsidRPr="005400EE" w:rsidRDefault="005806F6" w:rsidP="00834C86">
            <w:pPr>
              <w:jc w:val="center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(id</w:t>
            </w:r>
            <w:r w:rsidR="00AF2C31">
              <w:rPr>
                <w:sz w:val="22"/>
                <w:szCs w:val="22"/>
                <w:lang w:val="lv-LV"/>
              </w:rPr>
              <w:t>entifikācijas Nr. RTU – 2015/90</w:t>
            </w:r>
            <w:r w:rsidRPr="005400EE">
              <w:rPr>
                <w:sz w:val="22"/>
                <w:szCs w:val="22"/>
                <w:lang w:val="lv-LV"/>
              </w:rPr>
              <w:t>)</w:t>
            </w:r>
          </w:p>
          <w:p w:rsidR="005806F6" w:rsidRPr="005400EE" w:rsidRDefault="005806F6" w:rsidP="00834C8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F02DDE" w:rsidRPr="005400EE" w:rsidRDefault="000870E6" w:rsidP="00834C86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Nr.5</w:t>
            </w:r>
          </w:p>
          <w:p w:rsidR="00EF30E8" w:rsidRPr="005400EE" w:rsidRDefault="00EF30E8" w:rsidP="00834C8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400EE" w:rsidRDefault="005806F6" w:rsidP="00834C86">
            <w:pPr>
              <w:rPr>
                <w:sz w:val="22"/>
                <w:szCs w:val="22"/>
                <w:lang w:val="lv-LV"/>
              </w:rPr>
            </w:pPr>
          </w:p>
          <w:p w:rsidR="00EF30E8" w:rsidRPr="005400EE" w:rsidRDefault="00EF30E8" w:rsidP="00834C86">
            <w:pPr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Rīgā, Kaļ</w:t>
            </w:r>
            <w:r w:rsidR="00875176" w:rsidRPr="005400EE">
              <w:rPr>
                <w:sz w:val="22"/>
                <w:szCs w:val="22"/>
                <w:lang w:val="lv-LV"/>
              </w:rPr>
              <w:t>ķ</w:t>
            </w:r>
            <w:r w:rsidR="000870E6">
              <w:rPr>
                <w:sz w:val="22"/>
                <w:szCs w:val="22"/>
                <w:lang w:val="lv-LV"/>
              </w:rPr>
              <w:t>u ielā 1 – 322. telpā, plkst. 16</w:t>
            </w:r>
            <w:r w:rsidRPr="005400EE">
              <w:rPr>
                <w:sz w:val="22"/>
                <w:szCs w:val="22"/>
                <w:lang w:val="lv-LV"/>
              </w:rPr>
              <w:t xml:space="preserve">:00                                                                              </w:t>
            </w:r>
            <w:r w:rsidR="00705EA6" w:rsidRPr="005400EE">
              <w:rPr>
                <w:sz w:val="22"/>
                <w:szCs w:val="22"/>
                <w:lang w:val="lv-LV"/>
              </w:rPr>
              <w:t xml:space="preserve">      </w:t>
            </w:r>
            <w:r w:rsidRPr="005400EE">
              <w:rPr>
                <w:sz w:val="22"/>
                <w:szCs w:val="22"/>
                <w:lang w:val="lv-LV"/>
              </w:rPr>
              <w:t xml:space="preserve">     </w:t>
            </w:r>
            <w:r w:rsidR="000870E6">
              <w:rPr>
                <w:sz w:val="22"/>
                <w:szCs w:val="22"/>
                <w:lang w:val="lv-LV"/>
              </w:rPr>
              <w:t>17</w:t>
            </w:r>
            <w:r w:rsidR="00D7102B">
              <w:rPr>
                <w:sz w:val="22"/>
                <w:szCs w:val="22"/>
                <w:lang w:val="lv-LV"/>
              </w:rPr>
              <w:t>.07</w:t>
            </w:r>
            <w:r w:rsidR="005400EE" w:rsidRPr="005400EE">
              <w:rPr>
                <w:sz w:val="22"/>
                <w:szCs w:val="22"/>
                <w:lang w:val="lv-LV"/>
              </w:rPr>
              <w:t>.2015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EF30E8" w:rsidRPr="005400EE" w:rsidRDefault="00EF30E8" w:rsidP="00834C86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EF30E8" w:rsidRPr="005400EE" w:rsidTr="00161D9A">
              <w:tc>
                <w:tcPr>
                  <w:tcW w:w="3085" w:type="dxa"/>
                </w:tcPr>
                <w:p w:rsidR="00EF30E8" w:rsidRPr="005400EE" w:rsidRDefault="00E72B0D" w:rsidP="000870E6">
                  <w:pPr>
                    <w:framePr w:hSpace="180" w:wrap="around" w:hAnchor="margin" w:y="-750"/>
                    <w:tabs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sz w:val="22"/>
                      <w:szCs w:val="22"/>
                    </w:rPr>
                    <w:t>Komisijas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sz w:val="22"/>
                      <w:szCs w:val="22"/>
                    </w:rPr>
                    <w:t>priekšsēdētājs</w:t>
                  </w:r>
                  <w:proofErr w:type="spellEnd"/>
                  <w:r w:rsidR="00EF30E8" w:rsidRPr="005400E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0870E6">
                  <w:pPr>
                    <w:framePr w:hSpace="180" w:wrap="around" w:hAnchor="margin" w:y="-750"/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F30E8" w:rsidRPr="005400EE" w:rsidTr="00161D9A">
              <w:tc>
                <w:tcPr>
                  <w:tcW w:w="3085" w:type="dxa"/>
                </w:tcPr>
                <w:p w:rsidR="00EF30E8" w:rsidRPr="005400EE" w:rsidRDefault="00E72B0D" w:rsidP="000870E6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r w:rsidRPr="005400EE">
                    <w:rPr>
                      <w:rStyle w:val="c1"/>
                      <w:sz w:val="22"/>
                      <w:szCs w:val="22"/>
                    </w:rPr>
                    <w:t>Jevgēnijs Gramsts</w:t>
                  </w:r>
                  <w:r w:rsidR="00EF30E8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0870E6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rStyle w:val="c1"/>
                      <w:sz w:val="22"/>
                      <w:szCs w:val="22"/>
                    </w:rPr>
                    <w:t>Juridiskā</w:t>
                  </w:r>
                  <w:proofErr w:type="spellEnd"/>
                  <w:r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rStyle w:val="c1"/>
                      <w:sz w:val="22"/>
                      <w:szCs w:val="22"/>
                    </w:rPr>
                    <w:t>depar</w:t>
                  </w:r>
                  <w:r w:rsidR="00E72B0D" w:rsidRPr="005400EE">
                    <w:rPr>
                      <w:rStyle w:val="c1"/>
                      <w:sz w:val="22"/>
                      <w:szCs w:val="22"/>
                    </w:rPr>
                    <w:t>tamenta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nodaļas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vecākais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speciālists</w:t>
                  </w:r>
                  <w:proofErr w:type="spellEnd"/>
                  <w:r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F30E8" w:rsidRPr="005400EE" w:rsidTr="00161D9A">
              <w:trPr>
                <w:trHeight w:val="334"/>
              </w:trPr>
              <w:tc>
                <w:tcPr>
                  <w:tcW w:w="3085" w:type="dxa"/>
                </w:tcPr>
                <w:p w:rsidR="00EF30E8" w:rsidRPr="005400EE" w:rsidRDefault="00EF30E8" w:rsidP="000870E6">
                  <w:pPr>
                    <w:framePr w:hSpace="180" w:wrap="around" w:hAnchor="margin" w:y="-750"/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sz w:val="22"/>
                      <w:szCs w:val="22"/>
                    </w:rPr>
                    <w:t>Komisijas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sz w:val="22"/>
                      <w:szCs w:val="22"/>
                    </w:rPr>
                    <w:t>locekļi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0870E6">
                  <w:pPr>
                    <w:framePr w:hSpace="180" w:wrap="around" w:hAnchor="margin" w:y="-750"/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400EE" w:rsidRPr="005400EE" w:rsidTr="00047318">
              <w:tc>
                <w:tcPr>
                  <w:tcW w:w="3085" w:type="dxa"/>
                </w:tcPr>
                <w:p w:rsidR="005400EE" w:rsidRPr="00220520" w:rsidRDefault="005400EE" w:rsidP="000870E6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r w:rsidRPr="00220520">
                    <w:rPr>
                      <w:sz w:val="22"/>
                      <w:szCs w:val="22"/>
                    </w:rPr>
                    <w:t>Rita Rimša</w:t>
                  </w:r>
                </w:p>
              </w:tc>
              <w:tc>
                <w:tcPr>
                  <w:tcW w:w="6379" w:type="dxa"/>
                </w:tcPr>
                <w:p w:rsidR="005400EE" w:rsidRPr="00220520" w:rsidRDefault="005400EE" w:rsidP="000870E6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proofErr w:type="spellStart"/>
                  <w:r w:rsidRPr="00220520">
                    <w:rPr>
                      <w:sz w:val="22"/>
                      <w:szCs w:val="22"/>
                    </w:rPr>
                    <w:t>Zinātņu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prorektora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dienesta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Projektu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vadītāja</w:t>
                  </w:r>
                  <w:proofErr w:type="spellEnd"/>
                </w:p>
              </w:tc>
            </w:tr>
            <w:tr w:rsidR="005400EE" w:rsidRPr="005400EE" w:rsidTr="00047318">
              <w:tc>
                <w:tcPr>
                  <w:tcW w:w="3085" w:type="dxa"/>
                </w:tcPr>
                <w:p w:rsidR="005400EE" w:rsidRPr="00220520" w:rsidRDefault="005400EE" w:rsidP="000870E6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r w:rsidRPr="00220520">
                    <w:rPr>
                      <w:sz w:val="22"/>
                      <w:szCs w:val="22"/>
                    </w:rPr>
                    <w:t>Imants Pujāts</w:t>
                  </w:r>
                </w:p>
              </w:tc>
              <w:tc>
                <w:tcPr>
                  <w:tcW w:w="6379" w:type="dxa"/>
                </w:tcPr>
                <w:p w:rsidR="005400EE" w:rsidRPr="00220520" w:rsidRDefault="005400EE" w:rsidP="000870E6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proofErr w:type="spellStart"/>
                  <w:r w:rsidRPr="00220520">
                    <w:rPr>
                      <w:sz w:val="22"/>
                      <w:szCs w:val="22"/>
                    </w:rPr>
                    <w:t>Informācijas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tehnoloģijas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departamenta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Projektu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vadītājs</w:t>
                  </w:r>
                  <w:proofErr w:type="spellEnd"/>
                </w:p>
              </w:tc>
            </w:tr>
            <w:tr w:rsidR="005400EE" w:rsidRPr="005400EE" w:rsidTr="00047318">
              <w:tc>
                <w:tcPr>
                  <w:tcW w:w="3085" w:type="dxa"/>
                </w:tcPr>
                <w:p w:rsidR="005400EE" w:rsidRPr="00220520" w:rsidRDefault="005400EE" w:rsidP="000870E6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r w:rsidRPr="00220520">
                    <w:rPr>
                      <w:sz w:val="22"/>
                      <w:szCs w:val="22"/>
                    </w:rPr>
                    <w:t>Agris Ņikitenko</w:t>
                  </w:r>
                </w:p>
              </w:tc>
              <w:tc>
                <w:tcPr>
                  <w:tcW w:w="6379" w:type="dxa"/>
                </w:tcPr>
                <w:p w:rsidR="005400EE" w:rsidRPr="00220520" w:rsidRDefault="005400EE" w:rsidP="000870E6">
                  <w:pPr>
                    <w:framePr w:hSpace="180" w:wrap="around" w:hAnchor="margin" w:y="-750"/>
                    <w:rPr>
                      <w:sz w:val="22"/>
                      <w:szCs w:val="22"/>
                    </w:rPr>
                  </w:pPr>
                  <w:proofErr w:type="spellStart"/>
                  <w:r w:rsidRPr="00220520">
                    <w:rPr>
                      <w:sz w:val="22"/>
                      <w:szCs w:val="22"/>
                    </w:rPr>
                    <w:t>Mākslīgā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intelekta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un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sistēmu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teorijas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katedras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asociētais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profesors</w:t>
                  </w:r>
                  <w:proofErr w:type="spellEnd"/>
                </w:p>
              </w:tc>
            </w:tr>
          </w:tbl>
          <w:p w:rsidR="00EF30E8" w:rsidRPr="005400EE" w:rsidRDefault="00EF30E8" w:rsidP="00834C8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400EE" w:rsidRDefault="005806F6" w:rsidP="00834C86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5400EE" w:rsidRPr="005400EE">
              <w:rPr>
                <w:sz w:val="22"/>
                <w:szCs w:val="22"/>
                <w:lang w:val="lv-LV"/>
              </w:rPr>
              <w:t>finanšu prorektora</w:t>
            </w:r>
            <w:r w:rsidRPr="005400EE">
              <w:rPr>
                <w:sz w:val="22"/>
                <w:szCs w:val="22"/>
                <w:lang w:val="lv-LV"/>
              </w:rPr>
              <w:t xml:space="preserve"> </w:t>
            </w:r>
            <w:r w:rsidR="005400EE" w:rsidRPr="005400EE">
              <w:rPr>
                <w:sz w:val="22"/>
                <w:szCs w:val="22"/>
              </w:rPr>
              <w:t>2015</w:t>
            </w:r>
            <w:r w:rsidRPr="005400E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400EE">
              <w:rPr>
                <w:sz w:val="22"/>
                <w:szCs w:val="22"/>
              </w:rPr>
              <w:t>gada</w:t>
            </w:r>
            <w:proofErr w:type="spellEnd"/>
            <w:proofErr w:type="gramEnd"/>
            <w:r w:rsidRPr="005400EE">
              <w:rPr>
                <w:sz w:val="22"/>
                <w:szCs w:val="22"/>
              </w:rPr>
              <w:t xml:space="preserve"> </w:t>
            </w:r>
            <w:r w:rsidR="00F53E95" w:rsidRPr="005400EE">
              <w:rPr>
                <w:sz w:val="22"/>
                <w:szCs w:val="22"/>
              </w:rPr>
              <w:t>2</w:t>
            </w:r>
            <w:r w:rsidR="00087334">
              <w:rPr>
                <w:sz w:val="22"/>
                <w:szCs w:val="22"/>
              </w:rPr>
              <w:t>8</w:t>
            </w:r>
            <w:r w:rsidR="00F53E95" w:rsidRPr="005400E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087334">
              <w:rPr>
                <w:sz w:val="22"/>
                <w:szCs w:val="22"/>
              </w:rPr>
              <w:t>maija</w:t>
            </w:r>
            <w:proofErr w:type="spellEnd"/>
            <w:proofErr w:type="gramEnd"/>
            <w:r w:rsidR="00087334">
              <w:rPr>
                <w:sz w:val="22"/>
                <w:szCs w:val="22"/>
              </w:rPr>
              <w:t xml:space="preserve"> </w:t>
            </w:r>
            <w:proofErr w:type="spellStart"/>
            <w:r w:rsidR="00087334">
              <w:rPr>
                <w:sz w:val="22"/>
                <w:szCs w:val="22"/>
              </w:rPr>
              <w:t>rīkojumu</w:t>
            </w:r>
            <w:proofErr w:type="spellEnd"/>
            <w:r w:rsidR="00087334">
              <w:rPr>
                <w:sz w:val="22"/>
                <w:szCs w:val="22"/>
              </w:rPr>
              <w:t xml:space="preserve"> </w:t>
            </w:r>
            <w:proofErr w:type="spellStart"/>
            <w:r w:rsidR="00087334">
              <w:rPr>
                <w:sz w:val="22"/>
                <w:szCs w:val="22"/>
              </w:rPr>
              <w:t>Nr</w:t>
            </w:r>
            <w:proofErr w:type="spellEnd"/>
            <w:r w:rsidR="00087334">
              <w:rPr>
                <w:sz w:val="22"/>
                <w:szCs w:val="22"/>
              </w:rPr>
              <w:t>. 03000-1/108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5806F6" w:rsidRPr="005400EE" w:rsidRDefault="005806F6" w:rsidP="00834C86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Sēdi vada un protokolē: </w:t>
            </w:r>
            <w:proofErr w:type="spellStart"/>
            <w:r w:rsidRPr="005400EE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7F539D" w:rsidRDefault="007F539D" w:rsidP="00834C86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087334" w:rsidRDefault="00087334" w:rsidP="00834C86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087334">
              <w:rPr>
                <w:b/>
                <w:sz w:val="22"/>
                <w:szCs w:val="22"/>
                <w:lang w:val="lv-LV"/>
              </w:rPr>
              <w:t>Dienas</w:t>
            </w:r>
            <w:r w:rsidR="00F53E95" w:rsidRPr="00087334">
              <w:rPr>
                <w:b/>
                <w:sz w:val="22"/>
                <w:szCs w:val="22"/>
                <w:lang w:val="lv-LV"/>
              </w:rPr>
              <w:t xml:space="preserve"> kārtībā</w:t>
            </w:r>
          </w:p>
          <w:p w:rsidR="00F53E95" w:rsidRPr="005400EE" w:rsidRDefault="00D7102B" w:rsidP="00834C86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J.Gramsta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informācija</w:t>
            </w:r>
            <w:r w:rsidR="000870E6"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 w:rsidR="000870E6">
              <w:rPr>
                <w:sz w:val="22"/>
                <w:szCs w:val="22"/>
                <w:lang w:val="lv-LV"/>
              </w:rPr>
              <w:t>J.Kampara</w:t>
            </w:r>
            <w:proofErr w:type="spellEnd"/>
            <w:r w:rsidR="000870E6">
              <w:rPr>
                <w:sz w:val="22"/>
                <w:szCs w:val="22"/>
                <w:lang w:val="lv-LV"/>
              </w:rPr>
              <w:t xml:space="preserve"> sagatavoto atbilžu projektu uz iespējamā pretendenta jautājumiem par iepirkuma priekšmeta Tehnisko specifikāciju</w:t>
            </w:r>
            <w:r w:rsidR="00F53E95" w:rsidRPr="005400EE">
              <w:rPr>
                <w:sz w:val="22"/>
                <w:szCs w:val="22"/>
                <w:lang w:val="lv-LV"/>
              </w:rPr>
              <w:t>.</w:t>
            </w:r>
          </w:p>
          <w:p w:rsidR="00F53E95" w:rsidRPr="005400EE" w:rsidRDefault="00F53E95" w:rsidP="00834C86">
            <w:pPr>
              <w:jc w:val="both"/>
              <w:rPr>
                <w:sz w:val="22"/>
                <w:szCs w:val="22"/>
                <w:lang w:val="lv-LV"/>
              </w:rPr>
            </w:pPr>
          </w:p>
          <w:p w:rsidR="002E1D48" w:rsidRPr="002E1D48" w:rsidRDefault="00F53E95" w:rsidP="00834C86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 w:rsidRPr="00087334">
              <w:rPr>
                <w:sz w:val="22"/>
                <w:szCs w:val="22"/>
                <w:lang w:val="lv-LV"/>
              </w:rPr>
              <w:t xml:space="preserve">Komisijas priekšsēdētājs </w:t>
            </w:r>
            <w:proofErr w:type="spellStart"/>
            <w:r w:rsidRPr="00087334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087334">
              <w:rPr>
                <w:sz w:val="22"/>
                <w:szCs w:val="22"/>
                <w:lang w:val="lv-LV"/>
              </w:rPr>
              <w:t xml:space="preserve"> informē, ka </w:t>
            </w:r>
            <w:r w:rsidR="000870E6">
              <w:rPr>
                <w:sz w:val="22"/>
                <w:szCs w:val="22"/>
                <w:lang w:val="lv-LV"/>
              </w:rPr>
              <w:t xml:space="preserve">Pasūtītāja eksperts </w:t>
            </w:r>
            <w:proofErr w:type="spellStart"/>
            <w:r w:rsidR="000870E6">
              <w:rPr>
                <w:sz w:val="22"/>
                <w:szCs w:val="22"/>
                <w:lang w:val="lv-LV"/>
              </w:rPr>
              <w:t>J.Kampars</w:t>
            </w:r>
            <w:proofErr w:type="spellEnd"/>
            <w:r w:rsidR="000870E6">
              <w:rPr>
                <w:sz w:val="22"/>
                <w:szCs w:val="22"/>
                <w:lang w:val="lv-LV"/>
              </w:rPr>
              <w:t xml:space="preserve"> 15</w:t>
            </w:r>
            <w:r w:rsidR="002E1D48">
              <w:rPr>
                <w:sz w:val="22"/>
                <w:szCs w:val="22"/>
                <w:lang w:val="lv-LV"/>
              </w:rPr>
              <w:t xml:space="preserve">.07.2015. </w:t>
            </w:r>
            <w:r w:rsidR="000870E6">
              <w:rPr>
                <w:sz w:val="22"/>
                <w:szCs w:val="22"/>
                <w:lang w:val="lv-LV"/>
              </w:rPr>
              <w:t xml:space="preserve">ir sagatavojis un iesniedzis iepirkuma komisijai atbilžu projektu uz </w:t>
            </w:r>
            <w:r w:rsidR="002E1D48">
              <w:rPr>
                <w:sz w:val="22"/>
                <w:szCs w:val="22"/>
                <w:lang w:val="lv-LV"/>
              </w:rPr>
              <w:t xml:space="preserve">iespējamā pretendenta </w:t>
            </w:r>
            <w:r w:rsidR="000870E6">
              <w:rPr>
                <w:sz w:val="22"/>
                <w:szCs w:val="22"/>
                <w:lang w:val="lv-LV"/>
              </w:rPr>
              <w:t>uzdotajiem j</w:t>
            </w:r>
            <w:r w:rsidR="002E1D48">
              <w:rPr>
                <w:sz w:val="22"/>
                <w:szCs w:val="22"/>
                <w:lang w:val="lv-LV"/>
              </w:rPr>
              <w:t>autājumiem par konkursa iepirkuma priekšmeta Tehnisko specifikāciju</w:t>
            </w:r>
            <w:r w:rsidR="000870E6">
              <w:rPr>
                <w:sz w:val="22"/>
                <w:szCs w:val="22"/>
                <w:lang w:val="lv-LV"/>
              </w:rPr>
              <w:t xml:space="preserve"> (sēdes protokols Nr.4)</w:t>
            </w:r>
            <w:r w:rsidR="002E1D48">
              <w:rPr>
                <w:sz w:val="22"/>
                <w:szCs w:val="22"/>
                <w:lang w:val="lv-LV"/>
              </w:rPr>
              <w:t xml:space="preserve">. </w:t>
            </w:r>
          </w:p>
          <w:p w:rsidR="00A00AE5" w:rsidRDefault="00D3120E" w:rsidP="00834C86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 xml:space="preserve">Komisijas locekļi </w:t>
            </w:r>
            <w:r w:rsidR="000870E6">
              <w:rPr>
                <w:sz w:val="22"/>
                <w:szCs w:val="22"/>
                <w:lang w:val="lv-LV"/>
              </w:rPr>
              <w:t xml:space="preserve">iepazīstas ar </w:t>
            </w:r>
            <w:proofErr w:type="spellStart"/>
            <w:r w:rsidR="000870E6">
              <w:rPr>
                <w:sz w:val="22"/>
                <w:szCs w:val="22"/>
                <w:lang w:val="lv-LV"/>
              </w:rPr>
              <w:t>J.Kampara</w:t>
            </w:r>
            <w:proofErr w:type="spellEnd"/>
            <w:r w:rsidR="000870E6">
              <w:rPr>
                <w:sz w:val="22"/>
                <w:szCs w:val="22"/>
                <w:lang w:val="lv-LV"/>
              </w:rPr>
              <w:t xml:space="preserve"> sagatavoto informāciju.</w:t>
            </w:r>
          </w:p>
          <w:p w:rsidR="00C248F8" w:rsidRDefault="00A00AE5" w:rsidP="00834C86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Komisijas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locekļi</w:t>
            </w:r>
            <w:proofErr w:type="spellEnd"/>
            <w:r w:rsidR="00C248F8">
              <w:rPr>
                <w:sz w:val="22"/>
                <w:szCs w:val="22"/>
              </w:rPr>
              <w:t xml:space="preserve"> </w:t>
            </w:r>
            <w:proofErr w:type="spellStart"/>
            <w:r w:rsidR="00834C86">
              <w:rPr>
                <w:sz w:val="22"/>
                <w:szCs w:val="22"/>
              </w:rPr>
              <w:t>vienbalsīgi</w:t>
            </w:r>
            <w:proofErr w:type="spellEnd"/>
            <w:r w:rsidR="00C248F8">
              <w:rPr>
                <w:sz w:val="22"/>
                <w:szCs w:val="22"/>
              </w:rPr>
              <w:t xml:space="preserve"> </w:t>
            </w:r>
            <w:proofErr w:type="spellStart"/>
            <w:r w:rsidR="00D3120E" w:rsidRPr="00D3120E">
              <w:rPr>
                <w:b/>
                <w:sz w:val="22"/>
                <w:szCs w:val="22"/>
              </w:rPr>
              <w:t>nolemj</w:t>
            </w:r>
            <w:proofErr w:type="spellEnd"/>
            <w:r w:rsidR="000870E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0870E6" w:rsidRPr="000870E6">
              <w:rPr>
                <w:sz w:val="22"/>
                <w:szCs w:val="22"/>
              </w:rPr>
              <w:t>sniegt</w:t>
            </w:r>
            <w:proofErr w:type="spellEnd"/>
            <w:r w:rsidR="000870E6" w:rsidRPr="000870E6">
              <w:rPr>
                <w:sz w:val="22"/>
                <w:szCs w:val="22"/>
              </w:rPr>
              <w:t xml:space="preserve"> </w:t>
            </w:r>
            <w:proofErr w:type="spellStart"/>
            <w:r w:rsidR="000870E6" w:rsidRPr="000870E6">
              <w:rPr>
                <w:sz w:val="22"/>
                <w:szCs w:val="22"/>
              </w:rPr>
              <w:t>šādas</w:t>
            </w:r>
            <w:proofErr w:type="spellEnd"/>
            <w:r w:rsidR="000870E6" w:rsidRPr="000870E6">
              <w:rPr>
                <w:sz w:val="22"/>
                <w:szCs w:val="22"/>
              </w:rPr>
              <w:t xml:space="preserve"> </w:t>
            </w:r>
            <w:proofErr w:type="spellStart"/>
            <w:r w:rsidR="000870E6" w:rsidRPr="000870E6">
              <w:rPr>
                <w:sz w:val="22"/>
                <w:szCs w:val="22"/>
              </w:rPr>
              <w:t>atbildes</w:t>
            </w:r>
            <w:proofErr w:type="spellEnd"/>
            <w:r w:rsidR="00D3120E" w:rsidRPr="00D3120E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</w:p>
          <w:p w:rsidR="000870E6" w:rsidRDefault="002959BF" w:rsidP="00834C86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 w:rsidRPr="00B4688A">
              <w:rPr>
                <w:b/>
                <w:sz w:val="22"/>
                <w:szCs w:val="22"/>
                <w:lang w:val="lv-LV"/>
              </w:rPr>
              <w:t>J</w:t>
            </w:r>
            <w:r w:rsidR="000870E6" w:rsidRPr="00B4688A">
              <w:rPr>
                <w:b/>
                <w:sz w:val="22"/>
                <w:szCs w:val="22"/>
                <w:lang w:val="lv-LV"/>
              </w:rPr>
              <w:t>autājumu Nr.1</w:t>
            </w:r>
            <w:r w:rsidR="000870E6"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t xml:space="preserve"> par preču veiktspējas mērījumu</w:t>
            </w:r>
            <w:r w:rsidR="00B4688A">
              <w:rPr>
                <w:sz w:val="22"/>
                <w:szCs w:val="22"/>
                <w:lang w:val="lv-LV"/>
              </w:rPr>
              <w:t>.</w:t>
            </w:r>
          </w:p>
          <w:p w:rsidR="002959BF" w:rsidRDefault="002959BF" w:rsidP="002959BF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 w:rsidRPr="00B4688A">
              <w:rPr>
                <w:b/>
                <w:sz w:val="22"/>
                <w:szCs w:val="22"/>
                <w:lang w:val="lv-LV"/>
              </w:rPr>
              <w:t>Atbilde Nr.1</w:t>
            </w:r>
            <w:r>
              <w:rPr>
                <w:sz w:val="22"/>
                <w:szCs w:val="22"/>
                <w:lang w:val="lv-LV"/>
              </w:rPr>
              <w:t>:</w:t>
            </w:r>
          </w:p>
          <w:p w:rsidR="002959BF" w:rsidRPr="002959BF" w:rsidRDefault="002959BF" w:rsidP="002959BF">
            <w:pPr>
              <w:pStyle w:val="ListParagraph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Iepirkuma priekšmeta Tehniskā specifikācija</w:t>
            </w:r>
            <w:r w:rsidRPr="002959BF">
              <w:rPr>
                <w:sz w:val="22"/>
                <w:szCs w:val="22"/>
                <w:lang w:val="lv-LV"/>
              </w:rPr>
              <w:t xml:space="preserve"> </w:t>
            </w:r>
            <w:r>
              <w:rPr>
                <w:sz w:val="22"/>
                <w:szCs w:val="22"/>
                <w:lang w:val="lv-LV"/>
              </w:rPr>
              <w:t>nosaka</w:t>
            </w:r>
            <w:r w:rsidRPr="002959BF">
              <w:rPr>
                <w:sz w:val="22"/>
                <w:szCs w:val="22"/>
                <w:lang w:val="lv-LV"/>
              </w:rPr>
              <w:t xml:space="preserve">, ka no iepirkuma izsludināšanas dienas līdz piedāvājuma iesniegšanas dienai tiek veikta testa </w:t>
            </w:r>
            <w:r w:rsidRPr="00306B1B">
              <w:rPr>
                <w:b/>
                <w:sz w:val="22"/>
                <w:szCs w:val="22"/>
                <w:lang w:val="lv-LV"/>
              </w:rPr>
              <w:t>izdruka</w:t>
            </w:r>
            <w:r w:rsidRPr="002959BF">
              <w:rPr>
                <w:sz w:val="22"/>
                <w:szCs w:val="22"/>
                <w:lang w:val="lv-LV"/>
              </w:rPr>
              <w:t xml:space="preserve"> no atbilstošās mājaslapas</w:t>
            </w:r>
            <w:r>
              <w:rPr>
                <w:sz w:val="22"/>
                <w:szCs w:val="22"/>
                <w:lang w:val="lv-LV"/>
              </w:rPr>
              <w:t xml:space="preserve"> par piedāvātās preces veiktspēju</w:t>
            </w:r>
            <w:r w:rsidRPr="002959BF">
              <w:rPr>
                <w:sz w:val="22"/>
                <w:szCs w:val="22"/>
                <w:lang w:val="lv-LV"/>
              </w:rPr>
              <w:t xml:space="preserve">. </w:t>
            </w:r>
          </w:p>
          <w:p w:rsidR="002959BF" w:rsidRDefault="002959BF" w:rsidP="00834C86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 w:rsidRPr="00B4688A">
              <w:rPr>
                <w:b/>
                <w:sz w:val="22"/>
                <w:szCs w:val="22"/>
                <w:lang w:val="lv-LV"/>
              </w:rPr>
              <w:t>Jautājums Nr.2</w:t>
            </w:r>
            <w:r>
              <w:rPr>
                <w:sz w:val="22"/>
                <w:szCs w:val="22"/>
                <w:lang w:val="lv-LV"/>
              </w:rPr>
              <w:t xml:space="preserve">: par </w:t>
            </w:r>
            <w:r w:rsidR="00B4688A">
              <w:rPr>
                <w:sz w:val="22"/>
                <w:szCs w:val="22"/>
                <w:lang w:val="lv-LV"/>
              </w:rPr>
              <w:t>procesoru prasībām.</w:t>
            </w:r>
          </w:p>
          <w:p w:rsidR="002959BF" w:rsidRDefault="002959BF" w:rsidP="002959BF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 w:rsidRPr="00B4688A">
              <w:rPr>
                <w:b/>
                <w:sz w:val="22"/>
                <w:szCs w:val="22"/>
                <w:lang w:val="lv-LV"/>
              </w:rPr>
              <w:t>Atbilde Nr.2</w:t>
            </w:r>
            <w:r>
              <w:rPr>
                <w:sz w:val="22"/>
                <w:szCs w:val="22"/>
                <w:lang w:val="lv-LV"/>
              </w:rPr>
              <w:t>:</w:t>
            </w:r>
          </w:p>
          <w:p w:rsidR="002959BF" w:rsidRPr="002959BF" w:rsidRDefault="002959BF" w:rsidP="002959BF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Iepirkuma komisija informē, ka iepirkuma priekšmeta Tehniskās specifikācijas 1.1. un 1.2.punktu  piemērošana ir izskaidrota </w:t>
            </w:r>
            <w:r w:rsidR="00B4688A">
              <w:rPr>
                <w:sz w:val="22"/>
                <w:szCs w:val="22"/>
                <w:lang w:val="lv-LV"/>
              </w:rPr>
              <w:t xml:space="preserve">ar komisijas </w:t>
            </w:r>
            <w:r w:rsidR="00306B1B">
              <w:rPr>
                <w:sz w:val="22"/>
                <w:szCs w:val="22"/>
                <w:lang w:val="lv-LV"/>
              </w:rPr>
              <w:t xml:space="preserve">13.07.2015. </w:t>
            </w:r>
            <w:r w:rsidR="00B4688A">
              <w:rPr>
                <w:sz w:val="22"/>
                <w:szCs w:val="22"/>
                <w:lang w:val="lv-LV"/>
              </w:rPr>
              <w:t>s</w:t>
            </w:r>
            <w:r w:rsidR="00306B1B">
              <w:rPr>
                <w:sz w:val="22"/>
                <w:szCs w:val="22"/>
                <w:lang w:val="lv-LV"/>
              </w:rPr>
              <w:t>ēdē</w:t>
            </w:r>
            <w:r w:rsidR="00B4688A">
              <w:rPr>
                <w:sz w:val="22"/>
                <w:szCs w:val="22"/>
                <w:lang w:val="lv-LV"/>
              </w:rPr>
              <w:t xml:space="preserve"> pieņemto lēmumu (sēdes protokols Nr.3) un Pasūtītāja mājaslapā vietnē </w:t>
            </w:r>
            <w:hyperlink r:id="rId7" w:history="1">
              <w:r w:rsidR="00B4688A" w:rsidRPr="0051625B">
                <w:rPr>
                  <w:rStyle w:val="Hyperlink"/>
                  <w:sz w:val="22"/>
                  <w:szCs w:val="22"/>
                  <w:lang w:val="lv-LV"/>
                </w:rPr>
                <w:t>www.rtu.lv</w:t>
              </w:r>
            </w:hyperlink>
            <w:r w:rsidR="00B4688A">
              <w:rPr>
                <w:sz w:val="22"/>
                <w:szCs w:val="22"/>
                <w:lang w:val="lv-LV"/>
              </w:rPr>
              <w:t xml:space="preserve"> sadaļā “Iepirkumi” (</w:t>
            </w:r>
            <w:hyperlink r:id="rId8" w:history="1">
              <w:r w:rsidR="00B4688A" w:rsidRPr="0051625B">
                <w:rPr>
                  <w:rStyle w:val="Hyperlink"/>
                  <w:sz w:val="22"/>
                  <w:szCs w:val="22"/>
                  <w:lang w:val="lv-LV"/>
                </w:rPr>
                <w:t>http://www.rtu.lv/content/blogcategory/66/1522/5/5/lang,lv/</w:t>
              </w:r>
            </w:hyperlink>
            <w:r w:rsidR="00B4688A">
              <w:rPr>
                <w:sz w:val="22"/>
                <w:szCs w:val="22"/>
                <w:lang w:val="lv-LV"/>
              </w:rPr>
              <w:t xml:space="preserve">) sniegto informāciju. </w:t>
            </w:r>
          </w:p>
          <w:p w:rsidR="00B4688A" w:rsidRDefault="00B4688A" w:rsidP="00834C86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 w:rsidRPr="00BF0A18">
              <w:rPr>
                <w:b/>
                <w:sz w:val="22"/>
                <w:szCs w:val="22"/>
                <w:lang w:val="lv-LV"/>
              </w:rPr>
              <w:t>Jautājums Nr.3</w:t>
            </w:r>
            <w:r>
              <w:rPr>
                <w:sz w:val="22"/>
                <w:szCs w:val="22"/>
                <w:lang w:val="lv-LV"/>
              </w:rPr>
              <w:t>: par datņu serveru prasībām.</w:t>
            </w:r>
            <w:bookmarkStart w:id="0" w:name="_GoBack"/>
            <w:bookmarkEnd w:id="0"/>
          </w:p>
          <w:p w:rsidR="00B4688A" w:rsidRDefault="00B4688A" w:rsidP="00B4688A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 w:rsidRPr="00BF0A18">
              <w:rPr>
                <w:b/>
                <w:sz w:val="22"/>
                <w:szCs w:val="22"/>
                <w:lang w:val="lv-LV"/>
              </w:rPr>
              <w:t>Atbilde Nr.3</w:t>
            </w:r>
            <w:r>
              <w:rPr>
                <w:sz w:val="22"/>
                <w:szCs w:val="22"/>
                <w:lang w:val="lv-LV"/>
              </w:rPr>
              <w:t>:</w:t>
            </w:r>
          </w:p>
          <w:p w:rsidR="00B4688A" w:rsidRPr="00B4688A" w:rsidRDefault="00B4688A" w:rsidP="00B4688A">
            <w:pPr>
              <w:pStyle w:val="ListParagraph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Pretendentam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piedāvājot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B4688A">
              <w:rPr>
                <w:sz w:val="22"/>
                <w:szCs w:val="22"/>
              </w:rPr>
              <w:t>atņu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serverus</w:t>
            </w:r>
            <w:proofErr w:type="spellEnd"/>
            <w:r w:rsidRPr="00B4688A">
              <w:rPr>
                <w:sz w:val="22"/>
                <w:szCs w:val="22"/>
              </w:rPr>
              <w:t xml:space="preserve">, </w:t>
            </w:r>
            <w:proofErr w:type="spellStart"/>
            <w:r w:rsidRPr="00B4688A">
              <w:rPr>
                <w:sz w:val="22"/>
                <w:szCs w:val="22"/>
              </w:rPr>
              <w:t>ir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jāņem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vērā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Tehniskās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specifikācijas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III.</w:t>
            </w:r>
            <w:r w:rsidR="00BF0A18">
              <w:rPr>
                <w:sz w:val="22"/>
                <w:szCs w:val="22"/>
              </w:rPr>
              <w:t>daļas</w:t>
            </w:r>
            <w:proofErr w:type="spellEnd"/>
            <w:r>
              <w:rPr>
                <w:sz w:val="22"/>
                <w:szCs w:val="22"/>
              </w:rPr>
              <w:t xml:space="preserve"> 1.1.</w:t>
            </w:r>
            <w:r w:rsidRPr="00B4688A">
              <w:rPr>
                <w:sz w:val="22"/>
                <w:szCs w:val="22"/>
              </w:rPr>
              <w:t>pu</w:t>
            </w:r>
            <w:r>
              <w:rPr>
                <w:sz w:val="22"/>
                <w:szCs w:val="22"/>
              </w:rPr>
              <w:t xml:space="preserve">nktā </w:t>
            </w:r>
            <w:proofErr w:type="spellStart"/>
            <w:r w:rsidRPr="00B4688A">
              <w:rPr>
                <w:sz w:val="22"/>
                <w:szCs w:val="22"/>
              </w:rPr>
              <w:t>noteiktās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prasības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veikt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š</w:t>
            </w:r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datņu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serveru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integrāciju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</w:t>
            </w:r>
            <w:r w:rsidRPr="00B4688A">
              <w:rPr>
                <w:sz w:val="22"/>
                <w:szCs w:val="22"/>
              </w:rPr>
              <w:t>ākoņdatošanas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platformu</w:t>
            </w:r>
            <w:proofErr w:type="spellEnd"/>
            <w:r w:rsidRPr="00B4688A">
              <w:rPr>
                <w:sz w:val="22"/>
                <w:szCs w:val="22"/>
              </w:rPr>
              <w:t xml:space="preserve">. </w:t>
            </w:r>
            <w:proofErr w:type="spellStart"/>
            <w:r w:rsidRPr="00B4688A">
              <w:rPr>
                <w:sz w:val="22"/>
                <w:szCs w:val="22"/>
              </w:rPr>
              <w:t>Līdz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ar</w:t>
            </w:r>
            <w:proofErr w:type="spellEnd"/>
            <w:r w:rsidRPr="00B4688A">
              <w:rPr>
                <w:sz w:val="22"/>
                <w:szCs w:val="22"/>
              </w:rPr>
              <w:t xml:space="preserve"> to </w:t>
            </w:r>
            <w:proofErr w:type="spellStart"/>
            <w:r>
              <w:rPr>
                <w:sz w:val="22"/>
                <w:szCs w:val="22"/>
              </w:rPr>
              <w:t>pretendenta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piegādātais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B4688A">
              <w:rPr>
                <w:sz w:val="22"/>
                <w:szCs w:val="22"/>
              </w:rPr>
              <w:t>atņu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serveru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risinājums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ir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integrējams</w:t>
            </w:r>
            <w:proofErr w:type="spellEnd"/>
            <w:r w:rsidRPr="00B4688A">
              <w:rPr>
                <w:sz w:val="22"/>
                <w:szCs w:val="22"/>
              </w:rPr>
              <w:t xml:space="preserve"> un </w:t>
            </w:r>
            <w:r>
              <w:rPr>
                <w:sz w:val="22"/>
                <w:szCs w:val="22"/>
              </w:rPr>
              <w:t xml:space="preserve">tam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jā</w:t>
            </w:r>
            <w:r w:rsidRPr="00B4688A">
              <w:rPr>
                <w:sz w:val="22"/>
                <w:szCs w:val="22"/>
              </w:rPr>
              <w:t>spēj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nodrošināt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darbu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ar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piedāvāto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lastRenderedPageBreak/>
              <w:t>mākoņdatošanas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platformu</w:t>
            </w:r>
            <w:proofErr w:type="spellEnd"/>
            <w:r w:rsidRPr="00B4688A">
              <w:rPr>
                <w:sz w:val="22"/>
                <w:szCs w:val="22"/>
              </w:rPr>
              <w:t xml:space="preserve">. </w:t>
            </w:r>
            <w:proofErr w:type="spellStart"/>
            <w:r w:rsidRPr="00B4688A">
              <w:rPr>
                <w:sz w:val="22"/>
                <w:szCs w:val="22"/>
              </w:rPr>
              <w:t>Tāpat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hniskās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specifikācijas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III</w:t>
            </w:r>
            <w:r w:rsidR="00BF0A18">
              <w:rPr>
                <w:sz w:val="22"/>
                <w:szCs w:val="22"/>
              </w:rPr>
              <w:t>.daļas</w:t>
            </w:r>
            <w:proofErr w:type="spellEnd"/>
            <w:r>
              <w:rPr>
                <w:sz w:val="22"/>
                <w:szCs w:val="22"/>
              </w:rPr>
              <w:t xml:space="preserve"> 1.1.</w:t>
            </w:r>
            <w:r w:rsidRPr="00B4688A">
              <w:rPr>
                <w:sz w:val="22"/>
                <w:szCs w:val="22"/>
              </w:rPr>
              <w:t xml:space="preserve">punkts </w:t>
            </w:r>
            <w:proofErr w:type="spellStart"/>
            <w:r w:rsidRPr="00B4688A">
              <w:rPr>
                <w:sz w:val="22"/>
                <w:szCs w:val="22"/>
              </w:rPr>
              <w:t>definē</w:t>
            </w:r>
            <w:proofErr w:type="spellEnd"/>
            <w:r w:rsidRPr="00B4688A">
              <w:rPr>
                <w:sz w:val="22"/>
                <w:szCs w:val="22"/>
              </w:rPr>
              <w:t xml:space="preserve"> to, </w:t>
            </w:r>
            <w:proofErr w:type="spellStart"/>
            <w:r w:rsidRPr="00B4688A">
              <w:rPr>
                <w:sz w:val="22"/>
                <w:szCs w:val="22"/>
              </w:rPr>
              <w:t>ka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B4688A">
              <w:rPr>
                <w:sz w:val="22"/>
                <w:szCs w:val="22"/>
              </w:rPr>
              <w:t>atņu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servera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risinājumam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ir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jābūt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savietojamam</w:t>
            </w:r>
            <w:proofErr w:type="spellEnd"/>
            <w:r w:rsidRPr="00B4688A">
              <w:rPr>
                <w:sz w:val="22"/>
                <w:szCs w:val="22"/>
              </w:rPr>
              <w:t xml:space="preserve"> </w:t>
            </w:r>
            <w:proofErr w:type="spellStart"/>
            <w:r w:rsidRPr="00B4688A">
              <w:rPr>
                <w:sz w:val="22"/>
                <w:szCs w:val="22"/>
              </w:rPr>
              <w:t>ar</w:t>
            </w:r>
            <w:proofErr w:type="spellEnd"/>
            <w:r w:rsidRPr="00B4688A">
              <w:rPr>
                <w:sz w:val="22"/>
                <w:szCs w:val="22"/>
              </w:rPr>
              <w:t xml:space="preserve"> KVM </w:t>
            </w:r>
            <w:proofErr w:type="spellStart"/>
            <w:r w:rsidRPr="00B4688A">
              <w:rPr>
                <w:sz w:val="22"/>
                <w:szCs w:val="22"/>
              </w:rPr>
              <w:t>hipervizoru</w:t>
            </w:r>
            <w:proofErr w:type="spellEnd"/>
            <w:r w:rsidRPr="00B4688A">
              <w:rPr>
                <w:sz w:val="22"/>
                <w:szCs w:val="22"/>
              </w:rPr>
              <w:t>.</w:t>
            </w:r>
          </w:p>
          <w:p w:rsidR="00BF0A18" w:rsidRDefault="00BF0A18" w:rsidP="00834C86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2"/>
                <w:szCs w:val="22"/>
                <w:lang w:val="lv-LV"/>
              </w:rPr>
            </w:pPr>
            <w:r w:rsidRPr="00BF0A18">
              <w:rPr>
                <w:b/>
                <w:sz w:val="22"/>
                <w:szCs w:val="22"/>
                <w:lang w:val="lv-LV"/>
              </w:rPr>
              <w:t>Jautājums Nr.4</w:t>
            </w:r>
            <w:r>
              <w:rPr>
                <w:sz w:val="22"/>
                <w:szCs w:val="22"/>
                <w:lang w:val="lv-LV"/>
              </w:rPr>
              <w:t xml:space="preserve">: par </w:t>
            </w:r>
            <w:proofErr w:type="spellStart"/>
            <w:r>
              <w:rPr>
                <w:sz w:val="22"/>
                <w:szCs w:val="22"/>
                <w:lang w:val="lv-LV"/>
              </w:rPr>
              <w:t>virtualizēto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datu centra </w:t>
            </w:r>
            <w:proofErr w:type="spellStart"/>
            <w:r>
              <w:rPr>
                <w:sz w:val="22"/>
                <w:szCs w:val="22"/>
                <w:lang w:val="lv-LV"/>
              </w:rPr>
              <w:t>komutātoru</w:t>
            </w:r>
            <w:proofErr w:type="spellEnd"/>
            <w:r>
              <w:rPr>
                <w:sz w:val="22"/>
                <w:szCs w:val="22"/>
                <w:lang w:val="lv-LV"/>
              </w:rPr>
              <w:t>.</w:t>
            </w:r>
          </w:p>
          <w:p w:rsidR="00BF0A18" w:rsidRDefault="00BF0A18" w:rsidP="00BF0A18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  <w:r w:rsidRPr="00BF0A18">
              <w:rPr>
                <w:b/>
                <w:sz w:val="22"/>
                <w:szCs w:val="22"/>
                <w:lang w:val="lv-LV"/>
              </w:rPr>
              <w:t>Atbilde Nr.4</w:t>
            </w:r>
            <w:r>
              <w:rPr>
                <w:sz w:val="22"/>
                <w:szCs w:val="22"/>
                <w:lang w:val="lv-LV"/>
              </w:rPr>
              <w:t>:</w:t>
            </w:r>
          </w:p>
          <w:p w:rsidR="00BF0A18" w:rsidRDefault="00BF0A18" w:rsidP="00BF0A18">
            <w:pPr>
              <w:pStyle w:val="ListParagraph"/>
              <w:ind w:left="765"/>
              <w:jc w:val="both"/>
              <w:rPr>
                <w:sz w:val="22"/>
                <w:szCs w:val="22"/>
              </w:rPr>
            </w:pPr>
            <w:proofErr w:type="spellStart"/>
            <w:r w:rsidRPr="00BF0A18">
              <w:rPr>
                <w:sz w:val="22"/>
                <w:szCs w:val="22"/>
              </w:rPr>
              <w:t>Virtualizētā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datu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centra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komutatora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paplašināšanas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prasības</w:t>
            </w:r>
            <w:proofErr w:type="spellEnd"/>
            <w:r w:rsidRPr="00BF0A18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Tehniskās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specifikācijas</w:t>
            </w:r>
            <w:proofErr w:type="spellEnd"/>
            <w:r>
              <w:rPr>
                <w:sz w:val="22"/>
                <w:szCs w:val="22"/>
              </w:rPr>
              <w:t xml:space="preserve"> 5.7.</w:t>
            </w:r>
            <w:r w:rsidRPr="00BF0A18">
              <w:rPr>
                <w:sz w:val="22"/>
                <w:szCs w:val="22"/>
              </w:rPr>
              <w:t xml:space="preserve">punkts)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attiecināms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uz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minimālajām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komutatora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paplašināšanas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iespējām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nevis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minimālajām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aprīkojuma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prasībām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piegādes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brīdī</w:t>
            </w:r>
            <w:proofErr w:type="spellEnd"/>
            <w:r w:rsidRPr="00BF0A18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Vēršam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uzmanību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saskaņā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Tehniskās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specifikācijas</w:t>
            </w:r>
            <w:proofErr w:type="spellEnd"/>
            <w:r>
              <w:rPr>
                <w:sz w:val="22"/>
                <w:szCs w:val="22"/>
              </w:rPr>
              <w:t xml:space="preserve"> 5.1.punktu </w:t>
            </w:r>
            <w:proofErr w:type="spellStart"/>
            <w:r>
              <w:rPr>
                <w:sz w:val="22"/>
                <w:szCs w:val="22"/>
              </w:rPr>
              <w:t>tas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komutatoram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jādarbojā</w:t>
            </w:r>
            <w:r w:rsidRPr="00BF0A18">
              <w:rPr>
                <w:sz w:val="22"/>
                <w:szCs w:val="22"/>
              </w:rPr>
              <w:t>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kā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vienai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virtuālai</w:t>
            </w:r>
            <w:proofErr w:type="spellEnd"/>
            <w:r w:rsidRPr="00BF0A18">
              <w:rPr>
                <w:sz w:val="22"/>
                <w:szCs w:val="22"/>
              </w:rPr>
              <w:t xml:space="preserve"> L2/L3 </w:t>
            </w:r>
            <w:proofErr w:type="spellStart"/>
            <w:r w:rsidRPr="00BF0A18">
              <w:rPr>
                <w:sz w:val="22"/>
                <w:szCs w:val="22"/>
              </w:rPr>
              <w:t>ierīcei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nenozīmē</w:t>
            </w:r>
            <w:proofErr w:type="spellEnd"/>
            <w:r w:rsidRPr="00BF0A18">
              <w:rPr>
                <w:sz w:val="22"/>
                <w:szCs w:val="22"/>
              </w:rPr>
              <w:t xml:space="preserve"> to, </w:t>
            </w:r>
            <w:proofErr w:type="spellStart"/>
            <w:r w:rsidRPr="00BF0A18">
              <w:rPr>
                <w:sz w:val="22"/>
                <w:szCs w:val="22"/>
              </w:rPr>
              <w:t>ka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virtualizētajam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komutatoram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ir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jāatbalsta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tieši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četru</w:t>
            </w:r>
            <w:proofErr w:type="spellEnd"/>
            <w:r w:rsidRPr="00BF0A18">
              <w:rPr>
                <w:sz w:val="22"/>
                <w:szCs w:val="22"/>
              </w:rPr>
              <w:t xml:space="preserve"> 24 1/10 GE SFP+ </w:t>
            </w:r>
            <w:proofErr w:type="spellStart"/>
            <w:r w:rsidRPr="00BF0A18">
              <w:rPr>
                <w:sz w:val="22"/>
                <w:szCs w:val="22"/>
              </w:rPr>
              <w:t>komutācijas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moduļu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darbība</w:t>
            </w:r>
            <w:proofErr w:type="spellEnd"/>
            <w:r w:rsidRPr="00BF0A18">
              <w:rPr>
                <w:sz w:val="22"/>
                <w:szCs w:val="22"/>
              </w:rPr>
              <w:t>.  </w:t>
            </w:r>
            <w:proofErr w:type="spellStart"/>
            <w:r w:rsidRPr="00BF0A18">
              <w:rPr>
                <w:sz w:val="22"/>
                <w:szCs w:val="22"/>
              </w:rPr>
              <w:t>Ekspluatācijā</w:t>
            </w:r>
            <w:proofErr w:type="spellEnd"/>
            <w:r w:rsidRPr="00BF0A18">
              <w:rPr>
                <w:sz w:val="22"/>
                <w:szCs w:val="22"/>
              </w:rPr>
              <w:t xml:space="preserve">, </w:t>
            </w:r>
            <w:proofErr w:type="spellStart"/>
            <w:r w:rsidRPr="00BF0A18">
              <w:rPr>
                <w:sz w:val="22"/>
                <w:szCs w:val="22"/>
              </w:rPr>
              <w:t>izmantojot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vienu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virtualizētu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datu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centra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komutatoru</w:t>
            </w:r>
            <w:proofErr w:type="spellEnd"/>
            <w:r w:rsidRPr="00BF0A18">
              <w:rPr>
                <w:sz w:val="22"/>
                <w:szCs w:val="22"/>
              </w:rPr>
              <w:t xml:space="preserve">, </w:t>
            </w:r>
            <w:proofErr w:type="spellStart"/>
            <w:r w:rsidRPr="00BF0A18">
              <w:rPr>
                <w:sz w:val="22"/>
                <w:szCs w:val="22"/>
              </w:rPr>
              <w:t>tiek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ievērojami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atvieglota</w:t>
            </w:r>
            <w:proofErr w:type="spellEnd"/>
            <w:r w:rsidRPr="00BF0A18">
              <w:rPr>
                <w:sz w:val="22"/>
                <w:szCs w:val="22"/>
              </w:rPr>
              <w:t xml:space="preserve"> to </w:t>
            </w:r>
            <w:proofErr w:type="spellStart"/>
            <w:r w:rsidRPr="00BF0A18">
              <w:rPr>
                <w:sz w:val="22"/>
                <w:szCs w:val="22"/>
              </w:rPr>
              <w:t>pārvaldība</w:t>
            </w:r>
            <w:proofErr w:type="spellEnd"/>
            <w:r w:rsidRPr="00BF0A18">
              <w:rPr>
                <w:sz w:val="22"/>
                <w:szCs w:val="22"/>
              </w:rPr>
              <w:t xml:space="preserve">, </w:t>
            </w:r>
            <w:proofErr w:type="spellStart"/>
            <w:r w:rsidRPr="00BF0A18">
              <w:rPr>
                <w:sz w:val="22"/>
                <w:szCs w:val="22"/>
              </w:rPr>
              <w:t>ierobežota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cilvēka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kļūdas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iespēja</w:t>
            </w:r>
            <w:proofErr w:type="spellEnd"/>
            <w:r w:rsidRPr="00BF0A18">
              <w:rPr>
                <w:sz w:val="22"/>
                <w:szCs w:val="22"/>
              </w:rPr>
              <w:t xml:space="preserve">, </w:t>
            </w:r>
            <w:proofErr w:type="spellStart"/>
            <w:r w:rsidRPr="00BF0A18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arī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tiek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efektīvāk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izmantoti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</w:t>
            </w:r>
            <w:r w:rsidRPr="00BF0A18">
              <w:rPr>
                <w:sz w:val="22"/>
                <w:szCs w:val="22"/>
              </w:rPr>
              <w:t>asūtītāja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rīcībā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esošie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resursi</w:t>
            </w:r>
            <w:proofErr w:type="spellEnd"/>
            <w:r w:rsidRPr="00BF0A18">
              <w:rPr>
                <w:sz w:val="22"/>
                <w:szCs w:val="22"/>
              </w:rPr>
              <w:t xml:space="preserve">. </w:t>
            </w:r>
            <w:proofErr w:type="spellStart"/>
            <w:r w:rsidRPr="00BF0A18">
              <w:rPr>
                <w:sz w:val="22"/>
                <w:szCs w:val="22"/>
              </w:rPr>
              <w:t>Pēc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Pasūtītāja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rīcībā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esošās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informācijas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ir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vairāki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ražotāji</w:t>
            </w:r>
            <w:proofErr w:type="spellEnd"/>
            <w:r w:rsidRPr="00BF0A18">
              <w:rPr>
                <w:sz w:val="22"/>
                <w:szCs w:val="22"/>
              </w:rPr>
              <w:t xml:space="preserve">, </w:t>
            </w:r>
            <w:proofErr w:type="spellStart"/>
            <w:r w:rsidRPr="00BF0A18">
              <w:rPr>
                <w:sz w:val="22"/>
                <w:szCs w:val="22"/>
              </w:rPr>
              <w:t>kuri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piedāvā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prasībām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pilnībā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atbilstošus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risinājumus</w:t>
            </w:r>
            <w:proofErr w:type="spellEnd"/>
            <w:r w:rsidRPr="00BF0A18">
              <w:rPr>
                <w:sz w:val="22"/>
                <w:szCs w:val="22"/>
              </w:rPr>
              <w:t xml:space="preserve">. </w:t>
            </w:r>
            <w:proofErr w:type="spellStart"/>
            <w:r w:rsidRPr="00BF0A18">
              <w:rPr>
                <w:sz w:val="22"/>
                <w:szCs w:val="22"/>
              </w:rPr>
              <w:t>Uzskatām</w:t>
            </w:r>
            <w:proofErr w:type="spellEnd"/>
            <w:r w:rsidRPr="00BF0A18">
              <w:rPr>
                <w:sz w:val="22"/>
                <w:szCs w:val="22"/>
              </w:rPr>
              <w:t xml:space="preserve">, </w:t>
            </w:r>
            <w:proofErr w:type="spellStart"/>
            <w:r w:rsidRPr="00BF0A18">
              <w:rPr>
                <w:sz w:val="22"/>
                <w:szCs w:val="22"/>
              </w:rPr>
              <w:t>ka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konkursa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Nolikuma</w:t>
            </w:r>
            <w:proofErr w:type="spellEnd"/>
            <w:r>
              <w:rPr>
                <w:sz w:val="22"/>
                <w:szCs w:val="22"/>
              </w:rPr>
              <w:t xml:space="preserve"> 4.1.6.</w:t>
            </w:r>
            <w:r w:rsidRPr="00BF0A18">
              <w:rPr>
                <w:sz w:val="22"/>
                <w:szCs w:val="22"/>
              </w:rPr>
              <w:t xml:space="preserve">punkta </w:t>
            </w:r>
            <w:proofErr w:type="spellStart"/>
            <w:r w:rsidRPr="00BF0A18">
              <w:rPr>
                <w:sz w:val="22"/>
                <w:szCs w:val="22"/>
              </w:rPr>
              <w:t>sertifikācijas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prasības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norāda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uz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vairākiem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potenciāli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atbilstošiem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tīkla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iekārtu</w:t>
            </w:r>
            <w:proofErr w:type="spellEnd"/>
            <w:r w:rsidRPr="00BF0A18">
              <w:rPr>
                <w:sz w:val="22"/>
                <w:szCs w:val="22"/>
              </w:rPr>
              <w:t xml:space="preserve"> </w:t>
            </w:r>
            <w:proofErr w:type="spellStart"/>
            <w:r w:rsidRPr="00BF0A18">
              <w:rPr>
                <w:sz w:val="22"/>
                <w:szCs w:val="22"/>
              </w:rPr>
              <w:t>ražotājiem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F0A18" w:rsidRPr="00BF0A18" w:rsidRDefault="00BF0A18" w:rsidP="00BF0A18">
            <w:pPr>
              <w:pStyle w:val="ListParagraph"/>
              <w:ind w:left="765"/>
              <w:jc w:val="both"/>
              <w:rPr>
                <w:sz w:val="22"/>
                <w:szCs w:val="22"/>
                <w:lang w:val="lv-LV"/>
              </w:rPr>
            </w:pPr>
          </w:p>
          <w:p w:rsidR="00532E7F" w:rsidRPr="00031A9E" w:rsidRDefault="00BF0A18" w:rsidP="007B5F65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 w:rsidRPr="00031A9E">
              <w:rPr>
                <w:sz w:val="22"/>
                <w:szCs w:val="22"/>
                <w:lang w:val="lv-LV"/>
              </w:rPr>
              <w:t xml:space="preserve">Komisijas locekļi </w:t>
            </w:r>
            <w:r w:rsidR="00031A9E" w:rsidRPr="00031A9E">
              <w:rPr>
                <w:sz w:val="22"/>
                <w:szCs w:val="22"/>
                <w:lang w:val="lv-LV"/>
              </w:rPr>
              <w:t xml:space="preserve">uzdod </w:t>
            </w:r>
            <w:proofErr w:type="spellStart"/>
            <w:r w:rsidR="00031A9E" w:rsidRPr="00031A9E">
              <w:rPr>
                <w:sz w:val="22"/>
                <w:szCs w:val="22"/>
                <w:lang w:val="lv-LV"/>
              </w:rPr>
              <w:t>J.Gramstam</w:t>
            </w:r>
            <w:proofErr w:type="spellEnd"/>
            <w:r w:rsidR="00031A9E" w:rsidRPr="00031A9E">
              <w:rPr>
                <w:sz w:val="22"/>
                <w:szCs w:val="22"/>
                <w:lang w:val="lv-LV"/>
              </w:rPr>
              <w:t xml:space="preserve"> informēt iespējamo pretendentu par komisijas sniegtajām atbildēm un ievietot atbilstošu </w:t>
            </w:r>
            <w:r w:rsidR="00834C86" w:rsidRPr="00031A9E">
              <w:rPr>
                <w:sz w:val="22"/>
                <w:szCs w:val="22"/>
                <w:lang w:val="lv-LV"/>
              </w:rPr>
              <w:t xml:space="preserve"> </w:t>
            </w:r>
            <w:r w:rsidR="00031A9E" w:rsidRPr="00031A9E">
              <w:rPr>
                <w:sz w:val="22"/>
                <w:szCs w:val="22"/>
                <w:lang w:val="lv-LV"/>
              </w:rPr>
              <w:t xml:space="preserve">informāciju Pasūtītāja mājaslapā vietnē </w:t>
            </w:r>
            <w:hyperlink r:id="rId9" w:history="1">
              <w:r w:rsidR="00031A9E" w:rsidRPr="00031A9E">
                <w:rPr>
                  <w:rStyle w:val="Hyperlink"/>
                  <w:sz w:val="22"/>
                  <w:szCs w:val="22"/>
                  <w:lang w:val="lv-LV"/>
                </w:rPr>
                <w:t>www.rtu.lv</w:t>
              </w:r>
            </w:hyperlink>
            <w:r w:rsidR="00031A9E" w:rsidRPr="00031A9E">
              <w:rPr>
                <w:sz w:val="22"/>
                <w:szCs w:val="22"/>
                <w:lang w:val="lv-LV"/>
              </w:rPr>
              <w:t xml:space="preserve"> sadaļā “Iepirkumi”. </w:t>
            </w:r>
          </w:p>
          <w:p w:rsidR="00031A9E" w:rsidRPr="00031A9E" w:rsidRDefault="00031A9E" w:rsidP="00031A9E">
            <w:pPr>
              <w:pStyle w:val="ListParagraph"/>
              <w:ind w:left="405"/>
              <w:jc w:val="both"/>
              <w:rPr>
                <w:sz w:val="22"/>
                <w:szCs w:val="22"/>
              </w:rPr>
            </w:pPr>
          </w:p>
          <w:p w:rsidR="00D22C2A" w:rsidRPr="005400EE" w:rsidRDefault="00D22C2A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Sēdi</w:t>
            </w:r>
            <w:r w:rsidRPr="005400EE">
              <w:rPr>
                <w:sz w:val="22"/>
                <w:szCs w:val="22"/>
                <w:lang w:val="lv-LV"/>
              </w:rPr>
              <w:t xml:space="preserve"> slēdz: </w:t>
            </w:r>
            <w:proofErr w:type="spellStart"/>
            <w:r w:rsidRPr="005400EE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5400EE">
              <w:rPr>
                <w:sz w:val="22"/>
                <w:szCs w:val="22"/>
                <w:lang w:val="lv-LV"/>
              </w:rPr>
              <w:t>, plkst.1</w:t>
            </w:r>
            <w:r w:rsidR="00031A9E">
              <w:rPr>
                <w:sz w:val="22"/>
                <w:szCs w:val="22"/>
                <w:lang w:val="lv-LV"/>
              </w:rPr>
              <w:t>6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t>2</w:t>
            </w:r>
            <w:r w:rsidRPr="005400EE">
              <w:rPr>
                <w:sz w:val="22"/>
                <w:szCs w:val="22"/>
                <w:lang w:val="lv-LV"/>
              </w:rPr>
              <w:t>0.</w:t>
            </w:r>
          </w:p>
          <w:p w:rsidR="00D22C2A" w:rsidRDefault="00D22C2A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031A9E" w:rsidRDefault="00834C86" w:rsidP="00834C86">
            <w:pPr>
              <w:keepNext/>
              <w:keepLines/>
              <w:rPr>
                <w:sz w:val="20"/>
                <w:szCs w:val="20"/>
                <w:lang w:val="lv-LV"/>
              </w:rPr>
            </w:pPr>
            <w:r w:rsidRPr="00834C86">
              <w:rPr>
                <w:sz w:val="20"/>
                <w:szCs w:val="20"/>
                <w:u w:val="single"/>
                <w:lang w:val="lv-LV"/>
              </w:rPr>
              <w:t>Pielikumā:</w:t>
            </w:r>
            <w:r w:rsidRPr="00834C86">
              <w:rPr>
                <w:sz w:val="20"/>
                <w:szCs w:val="20"/>
                <w:lang w:val="lv-LV"/>
              </w:rPr>
              <w:t xml:space="preserve"> </w:t>
            </w:r>
          </w:p>
          <w:p w:rsidR="00031A9E" w:rsidRDefault="00031A9E" w:rsidP="00031A9E">
            <w:pPr>
              <w:pStyle w:val="ListParagraph"/>
              <w:keepNext/>
              <w:keepLines/>
              <w:numPr>
                <w:ilvl w:val="0"/>
                <w:numId w:val="37"/>
              </w:numPr>
              <w:rPr>
                <w:sz w:val="20"/>
                <w:szCs w:val="20"/>
                <w:lang w:val="lv-LV"/>
              </w:rPr>
            </w:pPr>
            <w:r w:rsidRPr="00031A9E">
              <w:rPr>
                <w:sz w:val="20"/>
                <w:szCs w:val="20"/>
                <w:lang w:val="lv-LV"/>
              </w:rPr>
              <w:t xml:space="preserve">Pasūtītāja eksperta </w:t>
            </w:r>
            <w:proofErr w:type="spellStart"/>
            <w:r w:rsidRPr="00031A9E">
              <w:rPr>
                <w:sz w:val="20"/>
                <w:szCs w:val="20"/>
                <w:lang w:val="lv-LV"/>
              </w:rPr>
              <w:t>J.Kampara</w:t>
            </w:r>
            <w:proofErr w:type="spellEnd"/>
            <w:r w:rsidRPr="00031A9E"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t>apliecinājums;</w:t>
            </w:r>
          </w:p>
          <w:p w:rsidR="00834C86" w:rsidRPr="00031A9E" w:rsidRDefault="00031A9E" w:rsidP="00031A9E">
            <w:pPr>
              <w:pStyle w:val="ListParagraph"/>
              <w:keepNext/>
              <w:keepLines/>
              <w:numPr>
                <w:ilvl w:val="0"/>
                <w:numId w:val="37"/>
              </w:num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J.Kampara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r w:rsidRPr="00031A9E">
              <w:rPr>
                <w:sz w:val="20"/>
                <w:szCs w:val="20"/>
                <w:lang w:val="lv-LV"/>
              </w:rPr>
              <w:t>informācija</w:t>
            </w:r>
            <w:r>
              <w:rPr>
                <w:sz w:val="20"/>
                <w:szCs w:val="20"/>
                <w:lang w:val="lv-LV"/>
              </w:rPr>
              <w:t xml:space="preserve"> par atbilžu projektu</w:t>
            </w:r>
            <w:r w:rsidR="00834C86" w:rsidRPr="00031A9E">
              <w:rPr>
                <w:sz w:val="20"/>
                <w:szCs w:val="20"/>
                <w:lang w:val="lv-LV"/>
              </w:rPr>
              <w:t>.</w:t>
            </w:r>
          </w:p>
          <w:tbl>
            <w:tblPr>
              <w:tblW w:w="9882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</w:tblGrid>
            <w:tr w:rsidR="00D22C2A" w:rsidRPr="005400EE" w:rsidTr="008750F0">
              <w:tc>
                <w:tcPr>
                  <w:tcW w:w="4050" w:type="dxa"/>
                </w:tcPr>
                <w:p w:rsidR="00D22C2A" w:rsidRPr="005400EE" w:rsidRDefault="00D22C2A" w:rsidP="000870E6">
                  <w:pPr>
                    <w:framePr w:hSpace="180" w:wrap="around" w:hAnchor="margin" w:y="-750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982" w:type="dxa"/>
                </w:tcPr>
                <w:p w:rsidR="00D22C2A" w:rsidRPr="005400EE" w:rsidRDefault="00D22C2A" w:rsidP="000870E6">
                  <w:pPr>
                    <w:framePr w:hSpace="180" w:wrap="around" w:hAnchor="margin" w:y="-750"/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D22C2A" w:rsidRPr="005400EE" w:rsidRDefault="00D22C2A" w:rsidP="000870E6">
                  <w:pPr>
                    <w:framePr w:hSpace="180" w:wrap="around" w:hAnchor="margin" w:y="-750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031A9E" w:rsidRDefault="00031A9E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D22C2A" w:rsidRDefault="00834C86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Komisijas locekļi:</w:t>
            </w:r>
          </w:p>
          <w:p w:rsidR="00834C86" w:rsidRDefault="00834C86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834C86" w:rsidRDefault="00834C86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________________________</w:t>
            </w:r>
            <w:proofErr w:type="spellStart"/>
            <w:r>
              <w:rPr>
                <w:sz w:val="22"/>
                <w:szCs w:val="22"/>
                <w:lang w:val="lv-LV"/>
              </w:rPr>
              <w:t>J.Gramsts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                                             ______________________</w:t>
            </w:r>
            <w:proofErr w:type="spellStart"/>
            <w:r>
              <w:rPr>
                <w:sz w:val="22"/>
                <w:szCs w:val="22"/>
                <w:lang w:val="lv-LV"/>
              </w:rPr>
              <w:t>A.Ņikitenko</w:t>
            </w:r>
            <w:proofErr w:type="spellEnd"/>
          </w:p>
          <w:p w:rsidR="00834C86" w:rsidRDefault="00834C86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834C86" w:rsidRPr="00D22C2A" w:rsidRDefault="00834C86" w:rsidP="00834C86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8B192B" w:rsidRPr="005400EE" w:rsidRDefault="008B192B" w:rsidP="00834C86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8B192B" w:rsidRPr="00A902A5" w:rsidRDefault="00834C86" w:rsidP="006B075E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lastRenderedPageBreak/>
        <w:t xml:space="preserve"> ________________________</w:t>
      </w:r>
      <w:proofErr w:type="spellStart"/>
      <w:r>
        <w:rPr>
          <w:sz w:val="22"/>
          <w:szCs w:val="22"/>
          <w:lang w:val="lv-LV"/>
        </w:rPr>
        <w:t>R.Rimša</w:t>
      </w:r>
      <w:proofErr w:type="spellEnd"/>
      <w:r>
        <w:rPr>
          <w:sz w:val="22"/>
          <w:szCs w:val="22"/>
          <w:lang w:val="lv-LV"/>
        </w:rPr>
        <w:t xml:space="preserve">                                                 ______________________</w:t>
      </w:r>
      <w:proofErr w:type="spellStart"/>
      <w:r>
        <w:rPr>
          <w:sz w:val="22"/>
          <w:szCs w:val="22"/>
          <w:lang w:val="lv-LV"/>
        </w:rPr>
        <w:t>I.Pujāts</w:t>
      </w:r>
      <w:proofErr w:type="spellEnd"/>
    </w:p>
    <w:sectPr w:rsidR="008B192B" w:rsidRPr="00A902A5" w:rsidSect="00977487">
      <w:headerReference w:type="default" r:id="rId10"/>
      <w:footerReference w:type="default" r:id="rId11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7FD" w:rsidRDefault="005077FD" w:rsidP="004F6DA6">
      <w:r>
        <w:separator/>
      </w:r>
    </w:p>
  </w:endnote>
  <w:endnote w:type="continuationSeparator" w:id="0">
    <w:p w:rsidR="005077FD" w:rsidRDefault="005077FD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7FD" w:rsidRDefault="005077FD" w:rsidP="004F6DA6">
      <w:r>
        <w:separator/>
      </w:r>
    </w:p>
  </w:footnote>
  <w:footnote w:type="continuationSeparator" w:id="0">
    <w:p w:rsidR="005077FD" w:rsidRDefault="005077FD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11042"/>
    <w:multiLevelType w:val="hybridMultilevel"/>
    <w:tmpl w:val="72C0A0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7" w15:restartNumberingAfterBreak="0">
    <w:nsid w:val="15A33949"/>
    <w:multiLevelType w:val="hybridMultilevel"/>
    <w:tmpl w:val="7818BB64"/>
    <w:lvl w:ilvl="0" w:tplc="333858A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9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5F65C8"/>
    <w:multiLevelType w:val="multilevel"/>
    <w:tmpl w:val="D7E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3541"/>
    <w:multiLevelType w:val="hybridMultilevel"/>
    <w:tmpl w:val="CF7EA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113BA"/>
    <w:multiLevelType w:val="multilevel"/>
    <w:tmpl w:val="F65259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24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22"/>
  </w:num>
  <w:num w:numId="7">
    <w:abstractNumId w:val="20"/>
  </w:num>
  <w:num w:numId="8">
    <w:abstractNumId w:val="33"/>
  </w:num>
  <w:num w:numId="9">
    <w:abstractNumId w:val="12"/>
  </w:num>
  <w:num w:numId="10">
    <w:abstractNumId w:val="31"/>
  </w:num>
  <w:num w:numId="11">
    <w:abstractNumId w:val="4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27"/>
  </w:num>
  <w:num w:numId="16">
    <w:abstractNumId w:val="9"/>
  </w:num>
  <w:num w:numId="17">
    <w:abstractNumId w:val="25"/>
  </w:num>
  <w:num w:numId="18">
    <w:abstractNumId w:val="14"/>
  </w:num>
  <w:num w:numId="19">
    <w:abstractNumId w:val="11"/>
  </w:num>
  <w:num w:numId="20">
    <w:abstractNumId w:val="21"/>
  </w:num>
  <w:num w:numId="21">
    <w:abstractNumId w:val="32"/>
  </w:num>
  <w:num w:numId="22">
    <w:abstractNumId w:val="28"/>
  </w:num>
  <w:num w:numId="23">
    <w:abstractNumId w:val="16"/>
  </w:num>
  <w:num w:numId="24">
    <w:abstractNumId w:val="18"/>
  </w:num>
  <w:num w:numId="25">
    <w:abstractNumId w:val="3"/>
  </w:num>
  <w:num w:numId="26">
    <w:abstractNumId w:val="2"/>
  </w:num>
  <w:num w:numId="27">
    <w:abstractNumId w:val="8"/>
  </w:num>
  <w:num w:numId="28">
    <w:abstractNumId w:val="13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9"/>
  </w:num>
  <w:num w:numId="32">
    <w:abstractNumId w:val="6"/>
  </w:num>
  <w:num w:numId="33">
    <w:abstractNumId w:val="26"/>
  </w:num>
  <w:num w:numId="34">
    <w:abstractNumId w:val="17"/>
  </w:num>
  <w:num w:numId="35">
    <w:abstractNumId w:val="7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0E96"/>
    <w:rsid w:val="00031A9E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0E6"/>
    <w:rsid w:val="00087334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8E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27055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455C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88D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59BF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1E5E"/>
    <w:rsid w:val="002B201C"/>
    <w:rsid w:val="002B3061"/>
    <w:rsid w:val="002B3390"/>
    <w:rsid w:val="002B3958"/>
    <w:rsid w:val="002B3BF0"/>
    <w:rsid w:val="002B3FF2"/>
    <w:rsid w:val="002B4D8A"/>
    <w:rsid w:val="002B548B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D48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6B1B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00E"/>
    <w:rsid w:val="003A01E7"/>
    <w:rsid w:val="003A11DC"/>
    <w:rsid w:val="003A1892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36FDD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4B6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6C49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25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077FD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2E7F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37BF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75E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27F8B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4C86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5765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0942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AE5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5B40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2C31"/>
    <w:rsid w:val="00AF4D8C"/>
    <w:rsid w:val="00AF4EAD"/>
    <w:rsid w:val="00AF4FD6"/>
    <w:rsid w:val="00AF59F5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88A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1F6"/>
    <w:rsid w:val="00BE6310"/>
    <w:rsid w:val="00BE6D11"/>
    <w:rsid w:val="00BE75D2"/>
    <w:rsid w:val="00BE7AA2"/>
    <w:rsid w:val="00BE7D85"/>
    <w:rsid w:val="00BF0A18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48F8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C2A"/>
    <w:rsid w:val="00D22E05"/>
    <w:rsid w:val="00D23AAE"/>
    <w:rsid w:val="00D26821"/>
    <w:rsid w:val="00D27223"/>
    <w:rsid w:val="00D2732F"/>
    <w:rsid w:val="00D27AE4"/>
    <w:rsid w:val="00D27E2E"/>
    <w:rsid w:val="00D3120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02B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4B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572D7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08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u.lv/content/blogcategory/66/1522/5/5/lang,l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t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2849</Words>
  <Characters>1624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3</cp:revision>
  <cp:lastPrinted>2014-12-11T11:12:00Z</cp:lastPrinted>
  <dcterms:created xsi:type="dcterms:W3CDTF">2015-07-20T06:40:00Z</dcterms:created>
  <dcterms:modified xsi:type="dcterms:W3CDTF">2015-07-20T06:50:00Z</dcterms:modified>
</cp:coreProperties>
</file>