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B8C4" w14:textId="6B18A3AC" w:rsidR="003D5580" w:rsidRPr="00E210FB" w:rsidRDefault="003D5580" w:rsidP="003D5580">
      <w:pPr>
        <w:pStyle w:val="ListParagraph"/>
        <w:ind w:left="360"/>
        <w:jc w:val="right"/>
        <w:rPr>
          <w:rFonts w:ascii="Times New Roman" w:eastAsia="Cambria" w:hAnsi="Times New Roman"/>
          <w:lang w:val="lv-LV"/>
        </w:rPr>
      </w:pPr>
      <w:r>
        <w:rPr>
          <w:rFonts w:ascii="Times New Roman" w:eastAsia="Cambria" w:hAnsi="Times New Roman"/>
          <w:lang w:val="lv-LV"/>
        </w:rPr>
        <w:t>Pielikums Nr.2.1</w:t>
      </w:r>
    </w:p>
    <w:p w14:paraId="4686007C" w14:textId="48A9EBEE" w:rsidR="003D5580" w:rsidRDefault="003D5580" w:rsidP="003D5580">
      <w:pPr>
        <w:pStyle w:val="ListParagraph"/>
        <w:ind w:left="360"/>
        <w:jc w:val="right"/>
        <w:rPr>
          <w:rFonts w:ascii="Times New Roman" w:eastAsia="Cambria" w:hAnsi="Times New Roman"/>
          <w:b/>
          <w:sz w:val="24"/>
          <w:szCs w:val="24"/>
          <w:lang w:val="lv-LV"/>
        </w:rPr>
      </w:pPr>
      <w:r>
        <w:rPr>
          <w:rFonts w:ascii="Times New Roman" w:eastAsia="Cambria" w:hAnsi="Times New Roman"/>
          <w:lang w:val="lv-LV"/>
        </w:rPr>
        <w:t>i</w:t>
      </w:r>
      <w:r w:rsidRPr="00E210FB">
        <w:rPr>
          <w:rFonts w:ascii="Times New Roman" w:eastAsia="Cambria" w:hAnsi="Times New Roman"/>
          <w:lang w:val="lv-LV"/>
        </w:rPr>
        <w:t>epirkuma ID Nr. RTU-2015/50 Nolikumam</w:t>
      </w:r>
    </w:p>
    <w:p w14:paraId="3EA85DD1" w14:textId="7C32EDBB" w:rsidR="00B100AF" w:rsidRPr="003D5580" w:rsidRDefault="003D5580" w:rsidP="003D5580">
      <w:pPr>
        <w:jc w:val="center"/>
        <w:rPr>
          <w:rFonts w:ascii="Times New Roman" w:hAnsi="Times New Roman"/>
          <w:b/>
          <w:sz w:val="24"/>
          <w:szCs w:val="24"/>
        </w:rPr>
      </w:pPr>
      <w:r w:rsidRPr="003D5580">
        <w:rPr>
          <w:rFonts w:ascii="Times New Roman" w:hAnsi="Times New Roman"/>
          <w:b/>
          <w:sz w:val="24"/>
          <w:szCs w:val="24"/>
        </w:rPr>
        <w:t>TEHNISKĀ SPECIFIKĀCIJA</w:t>
      </w:r>
    </w:p>
    <w:p w14:paraId="698BDF38" w14:textId="5439589E" w:rsidR="009C3371" w:rsidRDefault="001F7492" w:rsidP="003D5580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d</w:t>
      </w:r>
      <w:bookmarkStart w:id="0" w:name="_GoBack"/>
      <w:bookmarkEnd w:id="0"/>
      <w:r w:rsidR="00D743C7" w:rsidRPr="003D5580">
        <w:rPr>
          <w:rFonts w:ascii="Times New Roman" w:hAnsi="Times New Roman"/>
          <w:b/>
          <w:lang w:val="lv-LV"/>
        </w:rPr>
        <w:t>aļa</w:t>
      </w:r>
      <w:r w:rsidR="003D5580" w:rsidRPr="003D5580">
        <w:rPr>
          <w:rFonts w:ascii="Times New Roman" w:hAnsi="Times New Roman"/>
          <w:b/>
          <w:lang w:val="lv-LV"/>
        </w:rPr>
        <w:t xml:space="preserve"> Nr.1:</w:t>
      </w:r>
      <w:r w:rsidR="00D743C7" w:rsidRPr="003D5580">
        <w:rPr>
          <w:rFonts w:ascii="Times New Roman" w:hAnsi="Times New Roman"/>
          <w:b/>
          <w:lang w:val="lv-LV"/>
        </w:rPr>
        <w:t xml:space="preserve"> </w:t>
      </w:r>
      <w:r w:rsidR="001E5039" w:rsidRPr="003D5580">
        <w:rPr>
          <w:rFonts w:ascii="Times New Roman" w:hAnsi="Times New Roman"/>
          <w:b/>
          <w:lang w:val="lv-LV"/>
        </w:rPr>
        <w:t xml:space="preserve">Virtualizācijas </w:t>
      </w:r>
      <w:r w:rsidR="00895939" w:rsidRPr="003D5580">
        <w:rPr>
          <w:rFonts w:ascii="Times New Roman" w:hAnsi="Times New Roman"/>
          <w:b/>
          <w:lang w:val="lv-LV"/>
        </w:rPr>
        <w:t xml:space="preserve">skaitļošanas </w:t>
      </w:r>
      <w:r w:rsidR="003D5580" w:rsidRPr="003D5580">
        <w:rPr>
          <w:rFonts w:ascii="Times New Roman" w:hAnsi="Times New Roman"/>
          <w:b/>
          <w:lang w:val="lv-LV"/>
        </w:rPr>
        <w:t>serveri</w:t>
      </w:r>
      <w:r w:rsidR="001E5039" w:rsidRPr="003D5580">
        <w:rPr>
          <w:rFonts w:ascii="Times New Roman" w:hAnsi="Times New Roman"/>
          <w:b/>
          <w:lang w:val="lv-LV"/>
        </w:rPr>
        <w:t xml:space="preserve"> – 2 gab.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3D5580" w14:paraId="63D5A5AE" w14:textId="77777777" w:rsidTr="003D5580">
        <w:tc>
          <w:tcPr>
            <w:tcW w:w="988" w:type="dxa"/>
          </w:tcPr>
          <w:p w14:paraId="274D4B35" w14:textId="401CB41D" w:rsidR="003D5580" w:rsidRDefault="003D5580" w:rsidP="003D5580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Nr. p.k.</w:t>
            </w:r>
          </w:p>
        </w:tc>
        <w:tc>
          <w:tcPr>
            <w:tcW w:w="8788" w:type="dxa"/>
          </w:tcPr>
          <w:p w14:paraId="5B4AE8E6" w14:textId="47EDD7D1" w:rsidR="003D5580" w:rsidRDefault="0066613A" w:rsidP="003D5580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Tehniskie parametri</w:t>
            </w:r>
          </w:p>
        </w:tc>
      </w:tr>
    </w:tbl>
    <w:tbl>
      <w:tblPr>
        <w:tblW w:w="97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8"/>
        <w:gridCol w:w="8788"/>
      </w:tblGrid>
      <w:tr w:rsidR="003D5580" w:rsidRPr="00E75F28" w14:paraId="13A895F2" w14:textId="77777777" w:rsidTr="003D5580">
        <w:trPr>
          <w:trHeight w:val="10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5783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1336" w14:textId="2CFF88C4" w:rsidR="003D5580" w:rsidRPr="0015432A" w:rsidRDefault="003D5580" w:rsidP="001E5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Procesors: </w:t>
            </w: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vismaz 2 (divi) identiski x86 arhitektūras procesori, katrs ar vismaz divpadsmit kodoliem (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Core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), ar 64-bitu skaitļošanas atbalstu, sertificēti lietošanai ar operētājsistēmām – MS Windows Server 2012/2012R2 un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Linux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(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Redhat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Linux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Enterprise). Minimālā konfigurācija: 2 (div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i</w:t>
            </w: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) procesori ar kopējo kodolu skaitu vismaz 24 (divdesmit četri).</w:t>
            </w:r>
          </w:p>
        </w:tc>
      </w:tr>
      <w:tr w:rsidR="003D5580" w:rsidRPr="0015432A" w14:paraId="0BBD525A" w14:textId="77777777" w:rsidTr="003D5580">
        <w:trPr>
          <w:trHeight w:val="4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2308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B3A3" w14:textId="77777777" w:rsidR="003D5580" w:rsidRPr="0015432A" w:rsidRDefault="003D5580" w:rsidP="009C33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Servera divu procesoru veiktspēja pēc SPECint_baserate2006 (www.spec.org) nav sliktāka par 1000 punktiem</w:t>
            </w:r>
          </w:p>
        </w:tc>
      </w:tr>
      <w:tr w:rsidR="003D5580" w:rsidRPr="00E75F28" w14:paraId="785A54E9" w14:textId="77777777" w:rsidTr="003D5580">
        <w:trPr>
          <w:trHeight w:val="4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EAE2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D609" w14:textId="77777777" w:rsidR="003D5580" w:rsidRPr="0015432A" w:rsidRDefault="003D5580" w:rsidP="009C33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Atmiņa: </w:t>
            </w: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vismaz 128 GB DDR4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ar </w:t>
            </w: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vismaz 2133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MHz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 frekvenci un </w:t>
            </w: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ar kļūdu labošanu (ECC), </w:t>
            </w:r>
            <w:r w:rsidRPr="0015432A">
              <w:rPr>
                <w:rFonts w:ascii="Times New Roman" w:hAnsi="Times New Roman"/>
                <w:color w:val="000000"/>
                <w:sz w:val="24"/>
                <w:lang w:val="lv-LV" w:eastAsia="lv-LV"/>
              </w:rPr>
              <w:t xml:space="preserve">ar iespēju paplašināt līdz 384GB (nenoņemot uzstādīto atmiņu). </w:t>
            </w:r>
          </w:p>
        </w:tc>
      </w:tr>
      <w:tr w:rsidR="003D5580" w:rsidRPr="0015432A" w14:paraId="0EB0ABD2" w14:textId="77777777" w:rsidTr="003D5580">
        <w:trPr>
          <w:trHeight w:val="8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54FF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9945" w14:textId="77777777" w:rsidR="003D5580" w:rsidRPr="0015432A" w:rsidRDefault="003D5580" w:rsidP="009C33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RAID adapteris: </w:t>
            </w: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SAS/SATA kontrolieris, ar atmiņu, vismaz, 1GB un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battery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–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backed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vai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flash-backed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ātrpiekļuves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atmiņu, RAID 0, 1, 5, 6, 10  atbalsts. RAID kontroliera ātrdarbība vismaz 12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Gb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/s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full-duplex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</w:tr>
      <w:tr w:rsidR="003D5580" w:rsidRPr="0015432A" w14:paraId="02D160C9" w14:textId="77777777" w:rsidTr="003D5580">
        <w:trPr>
          <w:trHeight w:val="6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3EB4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47B3" w14:textId="0B07C3E3" w:rsidR="003D5580" w:rsidRPr="0015432A" w:rsidRDefault="003D5580" w:rsidP="00E16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Cietie diski: </w:t>
            </w: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vismaz 2 (divi)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Hot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Swap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, katrs ar apjomu ne mazāk kā 300GB un griešanās ātrumu ne mazāk par 10,000rpm. Iespēja palielināt ciet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o</w:t>
            </w: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disku skaitu serverī vismaz līdz 8 gabaliem.</w:t>
            </w:r>
          </w:p>
        </w:tc>
      </w:tr>
      <w:tr w:rsidR="003D5580" w:rsidRPr="0015432A" w14:paraId="0B0B832A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C24E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0886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Videokarte: </w:t>
            </w: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integrēta.</w:t>
            </w:r>
          </w:p>
        </w:tc>
      </w:tr>
      <w:tr w:rsidR="003D5580" w:rsidRPr="0015432A" w14:paraId="67BC6648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A0D2" w14:textId="77777777" w:rsidR="003D5580" w:rsidRPr="0015432A" w:rsidRDefault="003D5580" w:rsidP="000223F2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8BD4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Tīkla adapteri:</w:t>
            </w:r>
          </w:p>
        </w:tc>
      </w:tr>
      <w:tr w:rsidR="003D5580" w:rsidRPr="0015432A" w14:paraId="01F07273" w14:textId="77777777" w:rsidTr="003D5580">
        <w:trPr>
          <w:trHeight w:val="6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B3CB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5235" w14:textId="77777777" w:rsidR="003D5580" w:rsidRPr="0015432A" w:rsidRDefault="003D5580" w:rsidP="000223F2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Vismaz divi Gigabit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Ethernet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10/100/1000 porti, savietojami ar Enterprise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Linux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un Microsoft Windows operētājsistēmām.</w:t>
            </w:r>
          </w:p>
        </w:tc>
      </w:tr>
      <w:tr w:rsidR="003D5580" w:rsidRPr="0015432A" w14:paraId="6B72F029" w14:textId="77777777" w:rsidTr="003D5580">
        <w:trPr>
          <w:trHeight w:val="6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69BE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C47D7" w14:textId="43F2849A" w:rsidR="003D5580" w:rsidRPr="0015432A" w:rsidRDefault="003D5580" w:rsidP="006D0E0B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Vismaz divi 10Gbit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Ethernet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porti, kas nodrošina 10Gbit SFP+ optisko moduļu vai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Direct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Attach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Cable (DAC) moduļu ievietošanu un pieslēgšanu pie komutatora. Visiem portiem jābūt apgādātiem ar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short-wave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10Gbit optiskajiem moduļiem darbam ar daudz-modu (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multimode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) optisko kabeli. </w:t>
            </w:r>
          </w:p>
        </w:tc>
      </w:tr>
      <w:tr w:rsidR="003D5580" w:rsidRPr="0015432A" w14:paraId="4CA5FDC3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3421" w14:textId="77777777" w:rsidR="003D5580" w:rsidRPr="0015432A" w:rsidRDefault="003D5580" w:rsidP="000223F2">
            <w:pPr>
              <w:pStyle w:val="ListParagraph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AABC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Papildus interfeisi:</w:t>
            </w:r>
          </w:p>
        </w:tc>
      </w:tr>
      <w:tr w:rsidR="003D5580" w:rsidRPr="0015432A" w14:paraId="7E616971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FCF5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F1AF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Vismaz 2 (divi) USB porti 2.0 versijas vai augstākas;</w:t>
            </w:r>
          </w:p>
        </w:tc>
      </w:tr>
      <w:tr w:rsidR="003D5580" w:rsidRPr="0015432A" w14:paraId="5126CFC3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659A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93C5" w14:textId="47185AEC" w:rsidR="003D5580" w:rsidRPr="0015432A" w:rsidRDefault="003D5580" w:rsidP="00431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lv-LV"/>
              </w:rPr>
              <w:t>Vismaz</w:t>
            </w:r>
            <w:proofErr w:type="spellEnd"/>
            <w:r>
              <w:rPr>
                <w:rFonts w:ascii="Times New Roman" w:hAnsi="Times New Roman"/>
                <w:sz w:val="24"/>
                <w:lang w:eastAsia="lv-LV"/>
              </w:rPr>
              <w:t xml:space="preserve"> divas </w:t>
            </w:r>
            <w:proofErr w:type="spellStart"/>
            <w:r>
              <w:rPr>
                <w:rFonts w:ascii="Times New Roman" w:hAnsi="Times New Roman"/>
                <w:sz w:val="24"/>
                <w:lang w:eastAsia="lv-LV"/>
              </w:rPr>
              <w:t>brīvas</w:t>
            </w:r>
            <w:proofErr w:type="spellEnd"/>
            <w:r>
              <w:rPr>
                <w:rFonts w:ascii="Times New Roman" w:hAnsi="Times New Roman"/>
                <w:sz w:val="24"/>
                <w:lang w:eastAsia="lv-LV"/>
              </w:rPr>
              <w:t xml:space="preserve"> PCI Express 2.0 (</w:t>
            </w:r>
            <w:proofErr w:type="spellStart"/>
            <w:r>
              <w:rPr>
                <w:rFonts w:ascii="Times New Roman" w:hAnsi="Times New Roman"/>
                <w:sz w:val="24"/>
                <w:lang w:eastAsia="lv-LV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lv-LV"/>
              </w:rPr>
              <w:t>augstākas</w:t>
            </w:r>
            <w:proofErr w:type="spellEnd"/>
            <w:r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lv-LV"/>
              </w:rPr>
              <w:t>versija</w:t>
            </w:r>
            <w:proofErr w:type="spellEnd"/>
            <w:r>
              <w:rPr>
                <w:rFonts w:ascii="Times New Roman" w:hAnsi="Times New Roman"/>
                <w:sz w:val="24"/>
                <w:lang w:eastAsia="lv-LV"/>
              </w:rPr>
              <w:t xml:space="preserve">) x8 low profile </w:t>
            </w:r>
            <w:proofErr w:type="spellStart"/>
            <w:r>
              <w:rPr>
                <w:rFonts w:ascii="Times New Roman" w:hAnsi="Times New Roman"/>
                <w:sz w:val="24"/>
                <w:lang w:eastAsia="lv-LV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lang w:eastAsia="lv-LV"/>
              </w:rPr>
              <w:t xml:space="preserve"> full profile </w:t>
            </w:r>
            <w:proofErr w:type="spellStart"/>
            <w:r>
              <w:rPr>
                <w:rFonts w:ascii="Times New Roman" w:hAnsi="Times New Roman"/>
                <w:sz w:val="24"/>
                <w:lang w:eastAsia="lv-LV"/>
              </w:rPr>
              <w:t>paplašinājuma</w:t>
            </w:r>
            <w:proofErr w:type="spellEnd"/>
            <w:r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lv-LV"/>
              </w:rPr>
              <w:t>kopnes</w:t>
            </w:r>
            <w:proofErr w:type="spellEnd"/>
            <w:r>
              <w:rPr>
                <w:rFonts w:ascii="Times New Roman" w:hAnsi="Times New Roman"/>
                <w:sz w:val="24"/>
                <w:lang w:eastAsia="lv-LV"/>
              </w:rPr>
              <w:t>.</w:t>
            </w:r>
          </w:p>
        </w:tc>
      </w:tr>
      <w:tr w:rsidR="003D5580" w:rsidRPr="0015432A" w14:paraId="7810E03D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1706" w14:textId="77777777" w:rsidR="003D5580" w:rsidRPr="0015432A" w:rsidRDefault="003D5580" w:rsidP="000223F2">
            <w:pPr>
              <w:pStyle w:val="ListParagraph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2E80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Serveru menedžments:</w:t>
            </w:r>
          </w:p>
        </w:tc>
      </w:tr>
      <w:tr w:rsidR="003D5580" w:rsidRPr="0015432A" w14:paraId="168590B1" w14:textId="77777777" w:rsidTr="003D5580">
        <w:trPr>
          <w:trHeight w:val="84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894F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6D00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Sistēmas menedžmenta apakšsistēma ar 10/100/1000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BaseT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Ethernet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port (RJ-45) interfeisa portu servera pārvaldībai, arī tad, kad serveris ir “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Power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Off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” stāvoklī, bet ir pievienots pie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elektrobarošanas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</w:tc>
      </w:tr>
      <w:tr w:rsidR="003D5580" w:rsidRPr="0015432A" w14:paraId="73826150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A042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C22C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• IPMI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over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LAN</w:t>
            </w:r>
          </w:p>
        </w:tc>
      </w:tr>
      <w:tr w:rsidR="003D5580" w:rsidRPr="0015432A" w14:paraId="41A3D27F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3DDC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0E3D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• KVM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over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IP</w:t>
            </w:r>
          </w:p>
        </w:tc>
      </w:tr>
      <w:tr w:rsidR="003D5580" w:rsidRPr="00E75F28" w14:paraId="0C0837BA" w14:textId="77777777" w:rsidTr="003D5580">
        <w:trPr>
          <w:trHeight w:val="2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37E4" w14:textId="77777777" w:rsidR="003D5580" w:rsidRPr="0015432A" w:rsidRDefault="003D5580" w:rsidP="000223F2">
            <w:pPr>
              <w:pStyle w:val="ListParagraph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F2EE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• Pārvaldības nodrošināšanai paredzētā programmatūra ar sekojošu funkcionalitāti:</w:t>
            </w:r>
          </w:p>
        </w:tc>
      </w:tr>
      <w:tr w:rsidR="003D5580" w:rsidRPr="0015432A" w14:paraId="1689A5E5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8F8C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B173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grafiskā konsole attālinātai servera vadībai</w:t>
            </w:r>
          </w:p>
        </w:tc>
      </w:tr>
      <w:tr w:rsidR="003D5580" w:rsidRPr="0015432A" w14:paraId="07710ADB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EDE0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803E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KVM atbalsts</w:t>
            </w:r>
          </w:p>
        </w:tc>
      </w:tr>
      <w:tr w:rsidR="003D5580" w:rsidRPr="0015432A" w14:paraId="7E26D980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2DEE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CA0A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SSL tehnoloģija savienojuma drošībai visos režīmos</w:t>
            </w:r>
          </w:p>
        </w:tc>
      </w:tr>
      <w:tr w:rsidR="003D5580" w:rsidRPr="00E75F28" w14:paraId="1F042471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11DD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299E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iespēja veikt attālinātu operētājsistēmas uzstādīšanu</w:t>
            </w:r>
          </w:p>
        </w:tc>
      </w:tr>
      <w:tr w:rsidR="003D5580" w:rsidRPr="0015432A" w14:paraId="29199183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C163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F7F7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tiek nodrošināta attālināta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virtual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media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(CD/DVD/ISO faili)</w:t>
            </w:r>
          </w:p>
        </w:tc>
      </w:tr>
      <w:tr w:rsidR="003D5580" w:rsidRPr="00E75F28" w14:paraId="6B48043C" w14:textId="77777777" w:rsidTr="003D5580">
        <w:trPr>
          <w:trHeight w:val="3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0A4F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49A0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iespēja veikt attālinātu servera palaišanu, izslēgšanu, pārstartēšanu </w:t>
            </w:r>
          </w:p>
        </w:tc>
      </w:tr>
      <w:tr w:rsidR="003D5580" w:rsidRPr="0015432A" w14:paraId="595EEFA3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6051" w14:textId="77777777" w:rsidR="003D5580" w:rsidRPr="0015432A" w:rsidRDefault="003D5580" w:rsidP="000223F2">
            <w:pPr>
              <w:pStyle w:val="ListParagraph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DA45" w14:textId="77777777" w:rsidR="003D5580" w:rsidRPr="003D5580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lv-LV"/>
              </w:rPr>
            </w:pPr>
            <w:r w:rsidRPr="003D5580">
              <w:rPr>
                <w:rFonts w:ascii="Times New Roman" w:eastAsia="Times New Roman" w:hAnsi="Times New Roman"/>
                <w:b/>
                <w:color w:val="000000"/>
                <w:lang w:val="lv-LV"/>
              </w:rPr>
              <w:t>Iebūvētas programmnodrošinājuma diagnostikas iespējas:</w:t>
            </w:r>
          </w:p>
        </w:tc>
      </w:tr>
      <w:tr w:rsidR="003D5580" w:rsidRPr="00E75F28" w14:paraId="446BDDB5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25D2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A875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iespēja brīdināšanai par notikušām kļūdām;</w:t>
            </w:r>
          </w:p>
        </w:tc>
      </w:tr>
      <w:tr w:rsidR="003D5580" w:rsidRPr="0015432A" w14:paraId="4B31FFAF" w14:textId="77777777" w:rsidTr="003D5580">
        <w:trPr>
          <w:trHeight w:val="6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4B22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4426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novērot iekārtu darbības elektriskos un vides parametrus (spriegumu, temperatūru) un brīdināt par to pārmaiņām;</w:t>
            </w:r>
          </w:p>
        </w:tc>
      </w:tr>
      <w:tr w:rsidR="003D5580" w:rsidRPr="00E75F28" w14:paraId="5A868D2F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BCDB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070E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nosūtīt kļūmju brīdinājumus uz e-pastu;</w:t>
            </w:r>
          </w:p>
        </w:tc>
      </w:tr>
      <w:tr w:rsidR="003D5580" w:rsidRPr="00E75F28" w14:paraId="30A3A8BB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1AD7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90FC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nosūtīt kļūmju brīdinājumus izmantojot „SNMP trap” iespēju,</w:t>
            </w:r>
          </w:p>
        </w:tc>
      </w:tr>
      <w:tr w:rsidR="003D5580" w:rsidRPr="00E75F28" w14:paraId="1CF27FD3" w14:textId="77777777" w:rsidTr="003D5580">
        <w:trPr>
          <w:trHeight w:val="4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D801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53D3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nodrošināt paziņojumus un to sūtīšanu par ventilatora, atmiņas, barošanas bloka, cietā diska nekorektu darbību, temperatūras sensora rādījumu izmaiņām, iejaukšanos serveru šasijā </w:t>
            </w:r>
          </w:p>
        </w:tc>
      </w:tr>
      <w:tr w:rsidR="003D5580" w:rsidRPr="0015432A" w14:paraId="69F20604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8A1C" w14:textId="77777777" w:rsidR="003D5580" w:rsidRPr="0015432A" w:rsidRDefault="003D5580" w:rsidP="000223F2">
            <w:pPr>
              <w:pStyle w:val="ListParagraph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2074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Citu izmantojamo operētājsistēmu atbalsts:</w:t>
            </w:r>
          </w:p>
        </w:tc>
      </w:tr>
      <w:tr w:rsidR="003D5580" w:rsidRPr="0015432A" w14:paraId="2B3A1A95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C4F6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CE5C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Serveriem jābūt pilnīgi savietojamiem ar sekojošām OS:</w:t>
            </w:r>
          </w:p>
        </w:tc>
      </w:tr>
      <w:tr w:rsidR="003D5580" w:rsidRPr="0015432A" w14:paraId="5E8FD4C5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9D91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C2E7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Microsoft® Windows® Server 2008 R2, 2012, 2012R2</w:t>
            </w:r>
          </w:p>
        </w:tc>
      </w:tr>
      <w:tr w:rsidR="003D5580" w:rsidRPr="0015432A" w14:paraId="17F49465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7803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DAE3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Red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Hat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Enterprise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Linux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6 vai augstākas versijas</w:t>
            </w:r>
          </w:p>
        </w:tc>
      </w:tr>
      <w:tr w:rsidR="003D5580" w:rsidRPr="0015432A" w14:paraId="2D062ECB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A915" w14:textId="77777777" w:rsidR="003D5580" w:rsidRPr="0015432A" w:rsidRDefault="003D5580" w:rsidP="009C3371">
            <w:pPr>
              <w:pStyle w:val="ListParagraph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3B8E" w14:textId="77777777" w:rsidR="003D5580" w:rsidRPr="0015432A" w:rsidRDefault="003D5580" w:rsidP="0002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Kopējās prasības:</w:t>
            </w:r>
          </w:p>
        </w:tc>
      </w:tr>
      <w:tr w:rsidR="003D5580" w:rsidRPr="00E75F28" w14:paraId="5DB083A1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E33B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34533" w14:textId="77777777" w:rsidR="003D5580" w:rsidRPr="0015432A" w:rsidRDefault="003D5580" w:rsidP="009C33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-  Visām servera komponentēm ir jābūt viena ražotāja komplektējumā (izpildījumā)</w:t>
            </w:r>
          </w:p>
        </w:tc>
      </w:tr>
      <w:tr w:rsidR="003D5580" w:rsidRPr="0015432A" w14:paraId="7AC292B3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A33C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11648" w14:textId="77777777" w:rsidR="003D5580" w:rsidRPr="0015432A" w:rsidRDefault="003D5580" w:rsidP="00E16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hAnsi="Times New Roman"/>
                <w:lang w:val="lv-LV"/>
              </w:rPr>
              <w:t>Ražotāja garantija vismaz 3 gadi nākošajā darba dienā (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Next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Business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Day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>), bez aizlieguma atvērt korpusu.</w:t>
            </w:r>
          </w:p>
        </w:tc>
      </w:tr>
      <w:tr w:rsidR="003D5580" w:rsidRPr="0015432A" w14:paraId="411CDC3E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D179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ABD7D" w14:textId="77777777" w:rsidR="003D5580" w:rsidRPr="0015432A" w:rsidRDefault="003D5580" w:rsidP="00E16E5A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15432A">
              <w:rPr>
                <w:rFonts w:ascii="Times New Roman" w:hAnsi="Times New Roman"/>
                <w:lang w:val="lv-LV"/>
              </w:rPr>
              <w:t>Serveris ir montējams standarta 19" statnē.</w:t>
            </w:r>
          </w:p>
        </w:tc>
      </w:tr>
      <w:tr w:rsidR="003D5580" w:rsidRPr="0015432A" w14:paraId="2017FB19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1277" w14:textId="77777777" w:rsidR="003D5580" w:rsidRPr="0015432A" w:rsidRDefault="003D5580" w:rsidP="009C3371">
            <w:pPr>
              <w:pStyle w:val="ListParagraph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30DD6" w14:textId="77777777" w:rsidR="003D5580" w:rsidRPr="0015432A" w:rsidRDefault="003D5580" w:rsidP="009C33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 w:rsidRPr="0015432A">
              <w:rPr>
                <w:rFonts w:ascii="Times New Roman" w:eastAsia="Times New Roman" w:hAnsi="Times New Roman"/>
                <w:b/>
                <w:color w:val="000000"/>
                <w:lang w:val="lv-LV"/>
              </w:rPr>
              <w:t>Elektrobarošana</w:t>
            </w:r>
            <w:proofErr w:type="spellEnd"/>
            <w:r w:rsidRPr="0015432A">
              <w:rPr>
                <w:rFonts w:ascii="Times New Roman" w:eastAsia="Times New Roman" w:hAnsi="Times New Roman"/>
                <w:b/>
                <w:color w:val="000000"/>
                <w:lang w:val="lv-LV"/>
              </w:rPr>
              <w:t xml:space="preserve"> un dzesēšana:</w:t>
            </w:r>
          </w:p>
        </w:tc>
      </w:tr>
      <w:tr w:rsidR="003D5580" w:rsidRPr="0015432A" w14:paraId="79F721E1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A3F4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6B87C" w14:textId="77777777" w:rsidR="003D5580" w:rsidRPr="0015432A" w:rsidRDefault="003D5580" w:rsidP="009C33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Rezervēti ventilatoru moduļi ar N+1 rezervēšanu</w:t>
            </w:r>
          </w:p>
        </w:tc>
      </w:tr>
      <w:tr w:rsidR="003D5580" w:rsidRPr="004313F9" w14:paraId="523C9691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A941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8E779" w14:textId="77777777" w:rsidR="003D5580" w:rsidRPr="0015432A" w:rsidRDefault="003D5580" w:rsidP="009C33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Vismaz divi barošanas bloki, nomaināmi bez sistēmas izslēgšanas (turpmāk tekstā -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Hot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Swap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), ar rezervēšanu N+N; katra barošanas avota  jaudai ir jānodrošina servera  darbība ar tā maksimālo iespējamo komplektāciju un ir jābūt apgādātam ar neatkarīgu  50Hz AC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elektrobarošanas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pieslēguma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ievadu  (AC </w:t>
            </w:r>
            <w:proofErr w:type="spellStart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redundancy</w:t>
            </w:r>
            <w:proofErr w:type="spellEnd"/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). Serveru barošanas blokiem jābūt ne mazāk ka 750W.</w:t>
            </w:r>
          </w:p>
        </w:tc>
      </w:tr>
      <w:tr w:rsidR="003D5580" w:rsidRPr="0015432A" w14:paraId="7FD6A431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1117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18615" w14:textId="77777777" w:rsidR="003D5580" w:rsidRPr="0015432A" w:rsidRDefault="003D5580" w:rsidP="009C33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eastAsia="Times New Roman" w:hAnsi="Times New Roman"/>
                <w:color w:val="000000"/>
                <w:lang w:val="lv-LV"/>
              </w:rPr>
              <w:t>Barošana robežās vismaz no 220V līdz 240V, 50Hz AC tīklā</w:t>
            </w:r>
          </w:p>
        </w:tc>
      </w:tr>
      <w:tr w:rsidR="003D5580" w:rsidRPr="0015432A" w14:paraId="4D60E5E6" w14:textId="77777777" w:rsidTr="003D5580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F67E" w14:textId="77777777" w:rsidR="003D5580" w:rsidRPr="0015432A" w:rsidRDefault="003D5580" w:rsidP="00CB0019">
            <w:pPr>
              <w:pStyle w:val="ListParagraph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E2202" w14:textId="77777777" w:rsidR="003D5580" w:rsidRPr="0015432A" w:rsidRDefault="003D5580" w:rsidP="009C3371">
            <w:pPr>
              <w:rPr>
                <w:rFonts w:ascii="Times New Roman" w:hAnsi="Times New Roman"/>
                <w:b/>
                <w:lang w:val="lv-LV"/>
              </w:rPr>
            </w:pPr>
            <w:r w:rsidRPr="0015432A">
              <w:rPr>
                <w:rFonts w:ascii="Times New Roman" w:hAnsi="Times New Roman"/>
                <w:b/>
                <w:lang w:val="lv-LV"/>
              </w:rPr>
              <w:t xml:space="preserve">Servera piederumi: </w:t>
            </w:r>
          </w:p>
        </w:tc>
      </w:tr>
      <w:tr w:rsidR="003D5580" w:rsidRPr="00E75F28" w14:paraId="12947A15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7A74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67C13" w14:textId="2A0B323C" w:rsidR="003D5580" w:rsidRPr="0015432A" w:rsidRDefault="003D5580" w:rsidP="00D74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hAnsi="Times New Roman"/>
                <w:lang w:val="lv-LV"/>
              </w:rPr>
              <w:t>Visi nepieciešamie piederumi (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elektropievadi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 xml:space="preserve">, pārvadi un sliedes u. c. nepieciešamie piederumi), lai uzstādītu serveri statnē un pievienotu pie Pasūtītāja 50Hz AC 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elektrobarošanas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 xml:space="preserve"> sistēma</w:t>
            </w:r>
            <w:r>
              <w:rPr>
                <w:rFonts w:ascii="Times New Roman" w:hAnsi="Times New Roman"/>
                <w:lang w:val="lv-LV"/>
              </w:rPr>
              <w:t>i</w:t>
            </w:r>
          </w:p>
        </w:tc>
      </w:tr>
      <w:tr w:rsidR="003D5580" w:rsidRPr="0015432A" w14:paraId="021A70D9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390A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246E" w14:textId="77777777" w:rsidR="003D5580" w:rsidRPr="0015432A" w:rsidRDefault="003D5580" w:rsidP="009C33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hAnsi="Times New Roman"/>
                <w:lang w:val="lv-LV"/>
              </w:rPr>
              <w:t>Statnē montējams (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Rack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mount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>), bez instrumentu palīdzības (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Tool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>-less), komplektā iekļautas sliedes un citi nepieciešamie komponenti servera montāžai 19’’ statnē.</w:t>
            </w:r>
          </w:p>
        </w:tc>
      </w:tr>
      <w:tr w:rsidR="003D5580" w:rsidRPr="0015432A" w14:paraId="43E3279D" w14:textId="77777777" w:rsidTr="003D5580">
        <w:trPr>
          <w:trHeight w:val="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D760" w14:textId="77777777" w:rsidR="003D5580" w:rsidRPr="0015432A" w:rsidRDefault="003D5580" w:rsidP="009C33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1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E4D99" w14:textId="77777777" w:rsidR="003D5580" w:rsidRPr="0015432A" w:rsidRDefault="003D5580" w:rsidP="009C33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15432A">
              <w:rPr>
                <w:rFonts w:ascii="Times New Roman" w:hAnsi="Times New Roman"/>
                <w:lang w:val="lv-LV"/>
              </w:rPr>
              <w:t>Servera sliedēm jābūt bīdāmām (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sliding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15432A">
              <w:rPr>
                <w:rFonts w:ascii="Times New Roman" w:hAnsi="Times New Roman"/>
                <w:lang w:val="lv-LV"/>
              </w:rPr>
              <w:t>rails</w:t>
            </w:r>
            <w:proofErr w:type="spellEnd"/>
            <w:r w:rsidRPr="0015432A">
              <w:rPr>
                <w:rFonts w:ascii="Times New Roman" w:hAnsi="Times New Roman"/>
                <w:lang w:val="lv-LV"/>
              </w:rPr>
              <w:t>), ar iespēju pilnīgi izvilkt serveri no statnes un nofiksēt serveri, lai būtu iespēja atvērt serveri (sliedes tur izvilkto serveri).</w:t>
            </w:r>
          </w:p>
        </w:tc>
      </w:tr>
    </w:tbl>
    <w:p w14:paraId="65548B68" w14:textId="77777777" w:rsidR="009C3371" w:rsidRPr="0015432A" w:rsidRDefault="009C3371">
      <w:pPr>
        <w:rPr>
          <w:rFonts w:ascii="Times New Roman" w:hAnsi="Times New Roman"/>
          <w:lang w:val="lv-LV"/>
        </w:rPr>
      </w:pPr>
    </w:p>
    <w:sectPr w:rsidR="009C3371" w:rsidRPr="0015432A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760DA" w14:textId="77777777" w:rsidR="00982CE0" w:rsidRDefault="00982CE0" w:rsidP="0066613A">
      <w:pPr>
        <w:spacing w:after="0" w:line="240" w:lineRule="auto"/>
      </w:pPr>
      <w:r>
        <w:separator/>
      </w:r>
    </w:p>
  </w:endnote>
  <w:endnote w:type="continuationSeparator" w:id="0">
    <w:p w14:paraId="1CF912E4" w14:textId="77777777" w:rsidR="00982CE0" w:rsidRDefault="00982CE0" w:rsidP="0066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318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8B378" w14:textId="12DE4308" w:rsidR="0066613A" w:rsidRDefault="006661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4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E2F5AD" w14:textId="77777777" w:rsidR="0066613A" w:rsidRDefault="00666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AF767" w14:textId="77777777" w:rsidR="00982CE0" w:rsidRDefault="00982CE0" w:rsidP="0066613A">
      <w:pPr>
        <w:spacing w:after="0" w:line="240" w:lineRule="auto"/>
      </w:pPr>
      <w:r>
        <w:separator/>
      </w:r>
    </w:p>
  </w:footnote>
  <w:footnote w:type="continuationSeparator" w:id="0">
    <w:p w14:paraId="1B83FE16" w14:textId="77777777" w:rsidR="00982CE0" w:rsidRDefault="00982CE0" w:rsidP="0066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F9E"/>
    <w:multiLevelType w:val="hybridMultilevel"/>
    <w:tmpl w:val="477E236C"/>
    <w:lvl w:ilvl="0" w:tplc="9DE876F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1262"/>
    <w:multiLevelType w:val="hybridMultilevel"/>
    <w:tmpl w:val="D2FEE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E16DC"/>
    <w:multiLevelType w:val="hybridMultilevel"/>
    <w:tmpl w:val="477E236C"/>
    <w:lvl w:ilvl="0" w:tplc="9DE876F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71"/>
    <w:rsid w:val="0015432A"/>
    <w:rsid w:val="00154D80"/>
    <w:rsid w:val="001E5039"/>
    <w:rsid w:val="001F7492"/>
    <w:rsid w:val="003D5580"/>
    <w:rsid w:val="00425441"/>
    <w:rsid w:val="004313F9"/>
    <w:rsid w:val="005A73D9"/>
    <w:rsid w:val="00605D3D"/>
    <w:rsid w:val="00642CF5"/>
    <w:rsid w:val="0066613A"/>
    <w:rsid w:val="006D0E0B"/>
    <w:rsid w:val="00895939"/>
    <w:rsid w:val="00982CE0"/>
    <w:rsid w:val="009C3371"/>
    <w:rsid w:val="00B100AF"/>
    <w:rsid w:val="00B63C2A"/>
    <w:rsid w:val="00BB5FCD"/>
    <w:rsid w:val="00CB0019"/>
    <w:rsid w:val="00D743C7"/>
    <w:rsid w:val="00D910CA"/>
    <w:rsid w:val="00DB6E49"/>
    <w:rsid w:val="00E16E5A"/>
    <w:rsid w:val="00E75F28"/>
    <w:rsid w:val="00E91A9C"/>
    <w:rsid w:val="00F23189"/>
    <w:rsid w:val="00F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14FAF"/>
  <w15:docId w15:val="{49571B5B-CFCA-49E0-A307-78C464A1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337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C337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05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D3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D3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3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1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6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1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7175-2CE6-4FE1-8989-106CBE43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2901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Mihails Sazonovs</dc:creator>
  <cp:lastModifiedBy>Jevgēnijs Gramsts</cp:lastModifiedBy>
  <cp:revision>4</cp:revision>
  <dcterms:created xsi:type="dcterms:W3CDTF">2015-05-12T08:06:00Z</dcterms:created>
  <dcterms:modified xsi:type="dcterms:W3CDTF">2015-05-22T12:45:00Z</dcterms:modified>
</cp:coreProperties>
</file>