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54" w:rsidRPr="0055761D" w:rsidRDefault="00630664" w:rsidP="003A326D">
      <w:pPr>
        <w:spacing w:after="200" w:line="276" w:lineRule="auto"/>
        <w:jc w:val="right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 xml:space="preserve">Atklāta </w:t>
      </w:r>
      <w:proofErr w:type="spellStart"/>
      <w:r>
        <w:rPr>
          <w:bCs/>
          <w:sz w:val="20"/>
          <w:szCs w:val="20"/>
          <w:lang w:val="lv-LV"/>
        </w:rPr>
        <w:t>k</w:t>
      </w:r>
      <w:r w:rsidR="003A326D">
        <w:rPr>
          <w:bCs/>
          <w:sz w:val="20"/>
          <w:szCs w:val="20"/>
          <w:lang w:val="lv-LV"/>
        </w:rPr>
        <w:t>onkura</w:t>
      </w:r>
      <w:proofErr w:type="spellEnd"/>
      <w:r w:rsidR="005C5F54" w:rsidRPr="0055761D">
        <w:rPr>
          <w:bCs/>
          <w:sz w:val="20"/>
          <w:szCs w:val="20"/>
          <w:lang w:val="lv-LV"/>
        </w:rPr>
        <w:t xml:space="preserve"> ar identifikācijas Nr. RTU-201</w:t>
      </w:r>
      <w:r w:rsidR="003A326D">
        <w:rPr>
          <w:bCs/>
          <w:sz w:val="20"/>
          <w:szCs w:val="20"/>
          <w:lang w:val="lv-LV"/>
        </w:rPr>
        <w:t>5/39</w:t>
      </w:r>
    </w:p>
    <w:p w:rsidR="005C5F54" w:rsidRPr="0055761D" w:rsidRDefault="005C5F54" w:rsidP="005C5F54">
      <w:pPr>
        <w:jc w:val="right"/>
        <w:rPr>
          <w:bCs/>
          <w:sz w:val="20"/>
          <w:szCs w:val="20"/>
          <w:lang w:val="lv-LV"/>
        </w:rPr>
      </w:pPr>
      <w:r w:rsidRPr="0055761D">
        <w:rPr>
          <w:bCs/>
          <w:sz w:val="20"/>
          <w:szCs w:val="20"/>
          <w:lang w:val="lv-LV"/>
        </w:rPr>
        <w:t xml:space="preserve">Nolikuma </w:t>
      </w:r>
      <w:r w:rsidRPr="00113ADD">
        <w:rPr>
          <w:bCs/>
          <w:sz w:val="20"/>
          <w:szCs w:val="20"/>
          <w:lang w:val="lv-LV"/>
        </w:rPr>
        <w:t>3.</w:t>
      </w:r>
      <w:r w:rsidR="00861F56">
        <w:rPr>
          <w:bCs/>
          <w:sz w:val="20"/>
          <w:szCs w:val="20"/>
          <w:lang w:val="lv-LV"/>
        </w:rPr>
        <w:t>1.</w:t>
      </w:r>
      <w:r w:rsidRPr="00113ADD">
        <w:rPr>
          <w:bCs/>
          <w:sz w:val="20"/>
          <w:szCs w:val="20"/>
          <w:lang w:val="lv-LV"/>
        </w:rPr>
        <w:t>pielikums</w:t>
      </w:r>
    </w:p>
    <w:p w:rsidR="000C428E" w:rsidRPr="001136BF" w:rsidRDefault="000C428E" w:rsidP="000C428E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F</w:t>
      </w:r>
      <w:r w:rsidRPr="001136BF">
        <w:rPr>
          <w:b/>
          <w:bCs/>
          <w:lang w:val="lv-LV"/>
        </w:rPr>
        <w:t>inanšu piedāvājums (forma)</w:t>
      </w:r>
    </w:p>
    <w:p w:rsidR="000C428E" w:rsidRPr="00F127E2" w:rsidRDefault="000C428E" w:rsidP="000C428E">
      <w:pPr>
        <w:tabs>
          <w:tab w:val="left" w:pos="1620"/>
        </w:tabs>
        <w:spacing w:before="120" w:after="120"/>
        <w:ind w:left="1620" w:hanging="1620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>1</w:t>
      </w:r>
      <w:r w:rsidRPr="001136BF">
        <w:rPr>
          <w:b/>
          <w:bCs/>
          <w:lang w:val="lv-LV"/>
        </w:rPr>
        <w:t>.iepirkuma daļa “</w:t>
      </w:r>
      <w:r>
        <w:rPr>
          <w:b/>
          <w:lang w:val="lv-LV"/>
        </w:rPr>
        <w:t>Integrālo shēmu izstrādes rīku komplekti (2 komplekti)”</w:t>
      </w:r>
    </w:p>
    <w:p w:rsidR="000C428E" w:rsidRPr="00F127E2" w:rsidRDefault="000C428E" w:rsidP="000C428E">
      <w:pPr>
        <w:jc w:val="both"/>
        <w:rPr>
          <w:sz w:val="22"/>
          <w:szCs w:val="22"/>
          <w:highlight w:val="lightGray"/>
          <w:lang w:val="lv-LV"/>
        </w:rPr>
      </w:pPr>
    </w:p>
    <w:p w:rsidR="000C428E" w:rsidRPr="001136BF" w:rsidRDefault="000C428E" w:rsidP="000C428E">
      <w:pPr>
        <w:jc w:val="both"/>
        <w:rPr>
          <w:sz w:val="22"/>
          <w:szCs w:val="22"/>
        </w:rPr>
      </w:pPr>
      <w:r w:rsidRPr="00C35E92">
        <w:rPr>
          <w:sz w:val="22"/>
          <w:szCs w:val="22"/>
          <w:highlight w:val="lightGray"/>
        </w:rPr>
        <w:t>&lt;</w:t>
      </w:r>
      <w:proofErr w:type="spellStart"/>
      <w:r w:rsidRPr="00C35E92">
        <w:rPr>
          <w:sz w:val="22"/>
          <w:szCs w:val="22"/>
          <w:highlight w:val="lightGray"/>
        </w:rPr>
        <w:t>Vietas</w:t>
      </w:r>
      <w:proofErr w:type="spellEnd"/>
      <w:r w:rsidRPr="00C35E92">
        <w:rPr>
          <w:sz w:val="22"/>
          <w:szCs w:val="22"/>
          <w:highlight w:val="lightGray"/>
        </w:rPr>
        <w:t xml:space="preserve"> </w:t>
      </w:r>
      <w:proofErr w:type="spellStart"/>
      <w:r w:rsidRPr="00C35E92">
        <w:rPr>
          <w:sz w:val="22"/>
          <w:szCs w:val="22"/>
          <w:highlight w:val="lightGray"/>
        </w:rPr>
        <w:t>nosaukums</w:t>
      </w:r>
      <w:proofErr w:type="spellEnd"/>
      <w:r w:rsidRPr="00C35E92">
        <w:rPr>
          <w:sz w:val="22"/>
          <w:szCs w:val="22"/>
          <w:highlight w:val="lightGray"/>
        </w:rPr>
        <w:t>&gt;</w:t>
      </w:r>
      <w:r w:rsidRPr="001136BF">
        <w:rPr>
          <w:sz w:val="22"/>
          <w:szCs w:val="22"/>
        </w:rPr>
        <w:t xml:space="preserve">, </w:t>
      </w:r>
      <w:r w:rsidRPr="00C35E92">
        <w:rPr>
          <w:sz w:val="22"/>
          <w:szCs w:val="22"/>
          <w:highlight w:val="lightGray"/>
        </w:rPr>
        <w:t>&lt;gads&gt;</w:t>
      </w:r>
      <w:r w:rsidRPr="001136BF">
        <w:rPr>
          <w:sz w:val="22"/>
          <w:szCs w:val="22"/>
        </w:rPr>
        <w:t xml:space="preserve">, </w:t>
      </w:r>
      <w:r w:rsidRPr="00C35E92">
        <w:rPr>
          <w:sz w:val="22"/>
          <w:szCs w:val="22"/>
          <w:highlight w:val="lightGray"/>
        </w:rPr>
        <w:t>&lt;</w:t>
      </w:r>
      <w:proofErr w:type="spellStart"/>
      <w:r w:rsidRPr="00C35E92">
        <w:rPr>
          <w:sz w:val="22"/>
          <w:szCs w:val="22"/>
          <w:highlight w:val="lightGray"/>
        </w:rPr>
        <w:t>datums</w:t>
      </w:r>
      <w:proofErr w:type="spellEnd"/>
      <w:r w:rsidRPr="00C35E92">
        <w:rPr>
          <w:sz w:val="22"/>
          <w:szCs w:val="22"/>
          <w:highlight w:val="lightGray"/>
        </w:rPr>
        <w:t>&gt;</w:t>
      </w:r>
      <w:r w:rsidRPr="001136BF">
        <w:rPr>
          <w:sz w:val="22"/>
          <w:szCs w:val="22"/>
        </w:rPr>
        <w:t xml:space="preserve">, </w:t>
      </w:r>
      <w:r w:rsidRPr="00C35E92">
        <w:rPr>
          <w:sz w:val="22"/>
          <w:szCs w:val="22"/>
          <w:highlight w:val="lightGray"/>
        </w:rPr>
        <w:t>&lt;</w:t>
      </w:r>
      <w:proofErr w:type="spellStart"/>
      <w:r w:rsidRPr="00C35E92">
        <w:rPr>
          <w:sz w:val="22"/>
          <w:szCs w:val="22"/>
          <w:highlight w:val="lightGray"/>
        </w:rPr>
        <w:t>mēnesis</w:t>
      </w:r>
      <w:proofErr w:type="spellEnd"/>
      <w:r w:rsidRPr="00C35E92">
        <w:rPr>
          <w:sz w:val="22"/>
          <w:szCs w:val="22"/>
          <w:highlight w:val="lightGray"/>
        </w:rPr>
        <w:t>&gt;</w:t>
      </w:r>
    </w:p>
    <w:p w:rsidR="000C428E" w:rsidRPr="001136BF" w:rsidRDefault="000C428E" w:rsidP="000C428E">
      <w:pPr>
        <w:rPr>
          <w:sz w:val="22"/>
          <w:szCs w:val="22"/>
        </w:rPr>
      </w:pPr>
    </w:p>
    <w:p w:rsidR="000C428E" w:rsidRPr="001136BF" w:rsidRDefault="000C428E" w:rsidP="000C428E">
      <w:pPr>
        <w:jc w:val="both"/>
        <w:rPr>
          <w:sz w:val="22"/>
          <w:szCs w:val="22"/>
        </w:rPr>
      </w:pPr>
      <w:proofErr w:type="spellStart"/>
      <w:r w:rsidRPr="001136BF">
        <w:rPr>
          <w:sz w:val="22"/>
          <w:szCs w:val="22"/>
        </w:rPr>
        <w:t>Pretendents</w:t>
      </w:r>
      <w:proofErr w:type="spellEnd"/>
      <w:r w:rsidRPr="001136BF">
        <w:rPr>
          <w:sz w:val="22"/>
          <w:szCs w:val="22"/>
        </w:rPr>
        <w:t xml:space="preserve">  </w:t>
      </w:r>
      <w:r w:rsidRPr="00C35E92">
        <w:rPr>
          <w:sz w:val="22"/>
          <w:szCs w:val="22"/>
          <w:highlight w:val="lightGray"/>
        </w:rPr>
        <w:t xml:space="preserve">&lt; </w:t>
      </w:r>
      <w:proofErr w:type="spellStart"/>
      <w:r w:rsidRPr="00C35E92">
        <w:rPr>
          <w:sz w:val="22"/>
          <w:szCs w:val="22"/>
          <w:highlight w:val="lightGray"/>
        </w:rPr>
        <w:t>Nosaukums</w:t>
      </w:r>
      <w:proofErr w:type="spellEnd"/>
      <w:r w:rsidRPr="00C35E92">
        <w:rPr>
          <w:sz w:val="22"/>
          <w:szCs w:val="22"/>
          <w:highlight w:val="lightGray"/>
        </w:rPr>
        <w:t>&gt;</w:t>
      </w:r>
      <w:r w:rsidRPr="001136BF">
        <w:rPr>
          <w:sz w:val="22"/>
          <w:szCs w:val="22"/>
        </w:rPr>
        <w:t xml:space="preserve">  </w:t>
      </w:r>
      <w:proofErr w:type="spellStart"/>
      <w:r w:rsidRPr="001136BF">
        <w:rPr>
          <w:sz w:val="22"/>
          <w:szCs w:val="22"/>
        </w:rPr>
        <w:t>ir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iepazinies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ar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Rīgas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Tehniskās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universitātes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organizētā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atklātā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053FA9">
        <w:rPr>
          <w:sz w:val="22"/>
          <w:szCs w:val="22"/>
        </w:rPr>
        <w:t>konkursa</w:t>
      </w:r>
      <w:proofErr w:type="spellEnd"/>
      <w:r w:rsidRPr="00053FA9">
        <w:rPr>
          <w:sz w:val="22"/>
          <w:szCs w:val="22"/>
        </w:rPr>
        <w:t xml:space="preserve"> </w:t>
      </w:r>
      <w:r w:rsidRPr="00053FA9">
        <w:rPr>
          <w:bCs/>
          <w:sz w:val="22"/>
          <w:szCs w:val="22"/>
        </w:rPr>
        <w:t>“</w:t>
      </w:r>
      <w:proofErr w:type="spellStart"/>
      <w:r w:rsidRPr="00053FA9">
        <w:rPr>
          <w:bCs/>
          <w:sz w:val="22"/>
          <w:szCs w:val="22"/>
        </w:rPr>
        <w:t>Integrālo</w:t>
      </w:r>
      <w:proofErr w:type="spellEnd"/>
      <w:r w:rsidRPr="00053FA9">
        <w:rPr>
          <w:bCs/>
          <w:sz w:val="22"/>
          <w:szCs w:val="22"/>
        </w:rPr>
        <w:t xml:space="preserve"> </w:t>
      </w:r>
      <w:proofErr w:type="spellStart"/>
      <w:r w:rsidRPr="00053FA9">
        <w:rPr>
          <w:bCs/>
          <w:sz w:val="22"/>
          <w:szCs w:val="22"/>
        </w:rPr>
        <w:t>shēmu</w:t>
      </w:r>
      <w:proofErr w:type="spellEnd"/>
      <w:r w:rsidRPr="00053FA9">
        <w:rPr>
          <w:bCs/>
          <w:sz w:val="22"/>
          <w:szCs w:val="22"/>
        </w:rPr>
        <w:t xml:space="preserve"> </w:t>
      </w:r>
      <w:proofErr w:type="spellStart"/>
      <w:r w:rsidRPr="00053FA9">
        <w:rPr>
          <w:bCs/>
          <w:sz w:val="22"/>
          <w:szCs w:val="22"/>
        </w:rPr>
        <w:t>izstrādes</w:t>
      </w:r>
      <w:proofErr w:type="spellEnd"/>
      <w:r w:rsidRPr="00053FA9">
        <w:rPr>
          <w:bCs/>
          <w:sz w:val="22"/>
          <w:szCs w:val="22"/>
        </w:rPr>
        <w:t xml:space="preserve"> </w:t>
      </w:r>
      <w:proofErr w:type="spellStart"/>
      <w:r w:rsidRPr="00053FA9">
        <w:rPr>
          <w:bCs/>
          <w:sz w:val="22"/>
          <w:szCs w:val="22"/>
        </w:rPr>
        <w:t>rīku</w:t>
      </w:r>
      <w:proofErr w:type="spellEnd"/>
      <w:r w:rsidRPr="00053FA9">
        <w:rPr>
          <w:bCs/>
          <w:sz w:val="22"/>
          <w:szCs w:val="22"/>
        </w:rPr>
        <w:t xml:space="preserve"> </w:t>
      </w:r>
      <w:proofErr w:type="spellStart"/>
      <w:r w:rsidRPr="00053FA9">
        <w:rPr>
          <w:bCs/>
          <w:sz w:val="22"/>
          <w:szCs w:val="22"/>
        </w:rPr>
        <w:t>komplekta</w:t>
      </w:r>
      <w:proofErr w:type="spellEnd"/>
      <w:r w:rsidRPr="00053FA9">
        <w:rPr>
          <w:bCs/>
          <w:sz w:val="22"/>
          <w:szCs w:val="22"/>
        </w:rPr>
        <w:t xml:space="preserve">, FPGA </w:t>
      </w:r>
      <w:proofErr w:type="spellStart"/>
      <w:r w:rsidRPr="00053FA9">
        <w:rPr>
          <w:bCs/>
          <w:sz w:val="22"/>
          <w:szCs w:val="22"/>
        </w:rPr>
        <w:t>aparatūrisko</w:t>
      </w:r>
      <w:proofErr w:type="spellEnd"/>
      <w:r w:rsidRPr="00053FA9">
        <w:rPr>
          <w:bCs/>
          <w:sz w:val="22"/>
          <w:szCs w:val="22"/>
        </w:rPr>
        <w:t xml:space="preserve"> </w:t>
      </w:r>
      <w:proofErr w:type="spellStart"/>
      <w:r w:rsidRPr="00053FA9">
        <w:rPr>
          <w:bCs/>
          <w:sz w:val="22"/>
          <w:szCs w:val="22"/>
        </w:rPr>
        <w:t>izstrādes</w:t>
      </w:r>
      <w:proofErr w:type="spellEnd"/>
      <w:r w:rsidRPr="00053FA9">
        <w:rPr>
          <w:bCs/>
          <w:sz w:val="22"/>
          <w:szCs w:val="22"/>
        </w:rPr>
        <w:t xml:space="preserve"> </w:t>
      </w:r>
      <w:proofErr w:type="spellStart"/>
      <w:r w:rsidRPr="00053FA9">
        <w:rPr>
          <w:bCs/>
          <w:sz w:val="22"/>
          <w:szCs w:val="22"/>
        </w:rPr>
        <w:t>rīku</w:t>
      </w:r>
      <w:proofErr w:type="spellEnd"/>
      <w:r w:rsidRPr="00053FA9">
        <w:rPr>
          <w:bCs/>
          <w:sz w:val="22"/>
          <w:szCs w:val="22"/>
        </w:rPr>
        <w:t xml:space="preserve"> </w:t>
      </w:r>
      <w:proofErr w:type="spellStart"/>
      <w:r w:rsidRPr="00053FA9">
        <w:rPr>
          <w:bCs/>
          <w:sz w:val="22"/>
          <w:szCs w:val="22"/>
        </w:rPr>
        <w:t>piegāde</w:t>
      </w:r>
      <w:proofErr w:type="spellEnd"/>
      <w:r w:rsidRPr="00053FA9">
        <w:rPr>
          <w:bCs/>
          <w:sz w:val="22"/>
          <w:szCs w:val="22"/>
        </w:rPr>
        <w:t xml:space="preserve"> </w:t>
      </w:r>
      <w:proofErr w:type="spellStart"/>
      <w:r w:rsidRPr="00053FA9">
        <w:rPr>
          <w:bCs/>
          <w:sz w:val="22"/>
          <w:szCs w:val="22"/>
        </w:rPr>
        <w:t>Rīgas</w:t>
      </w:r>
      <w:proofErr w:type="spellEnd"/>
      <w:r w:rsidRPr="00053FA9">
        <w:rPr>
          <w:bCs/>
          <w:sz w:val="22"/>
          <w:szCs w:val="22"/>
        </w:rPr>
        <w:t xml:space="preserve"> </w:t>
      </w:r>
      <w:proofErr w:type="spellStart"/>
      <w:r w:rsidRPr="00053FA9">
        <w:rPr>
          <w:bCs/>
          <w:sz w:val="22"/>
          <w:szCs w:val="22"/>
        </w:rPr>
        <w:t>Tehniskās</w:t>
      </w:r>
      <w:proofErr w:type="spellEnd"/>
      <w:r w:rsidRPr="00053FA9">
        <w:rPr>
          <w:bCs/>
          <w:sz w:val="22"/>
          <w:szCs w:val="22"/>
        </w:rPr>
        <w:t xml:space="preserve"> </w:t>
      </w:r>
      <w:proofErr w:type="spellStart"/>
      <w:r w:rsidRPr="00053FA9">
        <w:rPr>
          <w:bCs/>
          <w:sz w:val="22"/>
          <w:szCs w:val="22"/>
        </w:rPr>
        <w:t>universitātes</w:t>
      </w:r>
      <w:proofErr w:type="spellEnd"/>
      <w:r w:rsidRPr="00053FA9">
        <w:rPr>
          <w:bCs/>
          <w:sz w:val="22"/>
          <w:szCs w:val="22"/>
        </w:rPr>
        <w:t xml:space="preserve"> </w:t>
      </w:r>
      <w:proofErr w:type="spellStart"/>
      <w:r w:rsidRPr="00053FA9">
        <w:rPr>
          <w:bCs/>
          <w:sz w:val="22"/>
          <w:szCs w:val="22"/>
        </w:rPr>
        <w:t>vajadzībām</w:t>
      </w:r>
      <w:proofErr w:type="spellEnd"/>
      <w:r w:rsidRPr="00053FA9">
        <w:rPr>
          <w:bCs/>
          <w:sz w:val="22"/>
          <w:szCs w:val="22"/>
        </w:rPr>
        <w:t xml:space="preserve"> </w:t>
      </w:r>
      <w:proofErr w:type="spellStart"/>
      <w:r w:rsidRPr="00053FA9">
        <w:rPr>
          <w:bCs/>
          <w:sz w:val="22"/>
          <w:szCs w:val="22"/>
        </w:rPr>
        <w:t>Eiropas</w:t>
      </w:r>
      <w:proofErr w:type="spellEnd"/>
      <w:r w:rsidRPr="00053FA9">
        <w:rPr>
          <w:bCs/>
          <w:sz w:val="22"/>
          <w:szCs w:val="22"/>
        </w:rPr>
        <w:t xml:space="preserve"> </w:t>
      </w:r>
      <w:proofErr w:type="spellStart"/>
      <w:r w:rsidRPr="00053FA9">
        <w:rPr>
          <w:bCs/>
          <w:sz w:val="22"/>
          <w:szCs w:val="22"/>
        </w:rPr>
        <w:t>Reģionālās</w:t>
      </w:r>
      <w:proofErr w:type="spellEnd"/>
      <w:r w:rsidRPr="00053FA9">
        <w:rPr>
          <w:bCs/>
          <w:sz w:val="22"/>
          <w:szCs w:val="22"/>
        </w:rPr>
        <w:t xml:space="preserve"> </w:t>
      </w:r>
      <w:proofErr w:type="spellStart"/>
      <w:r w:rsidRPr="00053FA9">
        <w:rPr>
          <w:bCs/>
          <w:sz w:val="22"/>
          <w:szCs w:val="22"/>
        </w:rPr>
        <w:t>attīstības</w:t>
      </w:r>
      <w:proofErr w:type="spellEnd"/>
      <w:r w:rsidRPr="00053FA9">
        <w:rPr>
          <w:bCs/>
          <w:sz w:val="22"/>
          <w:szCs w:val="22"/>
        </w:rPr>
        <w:t xml:space="preserve"> </w:t>
      </w:r>
      <w:proofErr w:type="spellStart"/>
      <w:r w:rsidRPr="00053FA9">
        <w:rPr>
          <w:bCs/>
          <w:sz w:val="22"/>
          <w:szCs w:val="22"/>
        </w:rPr>
        <w:t>fonda</w:t>
      </w:r>
      <w:proofErr w:type="spellEnd"/>
      <w:r w:rsidRPr="00053FA9">
        <w:rPr>
          <w:bCs/>
          <w:sz w:val="22"/>
          <w:szCs w:val="22"/>
        </w:rPr>
        <w:t xml:space="preserve"> </w:t>
      </w:r>
      <w:proofErr w:type="spellStart"/>
      <w:r w:rsidRPr="00053FA9">
        <w:rPr>
          <w:bCs/>
          <w:sz w:val="22"/>
          <w:szCs w:val="22"/>
        </w:rPr>
        <w:t>līdzfinansētā</w:t>
      </w:r>
      <w:proofErr w:type="spellEnd"/>
      <w:r w:rsidRPr="00053FA9">
        <w:rPr>
          <w:bCs/>
          <w:sz w:val="22"/>
          <w:szCs w:val="22"/>
        </w:rPr>
        <w:t xml:space="preserve"> </w:t>
      </w:r>
      <w:proofErr w:type="spellStart"/>
      <w:r w:rsidRPr="00053FA9">
        <w:rPr>
          <w:bCs/>
          <w:sz w:val="22"/>
          <w:szCs w:val="22"/>
        </w:rPr>
        <w:t>projekta</w:t>
      </w:r>
      <w:proofErr w:type="spellEnd"/>
      <w:r w:rsidRPr="00053FA9">
        <w:rPr>
          <w:bCs/>
          <w:sz w:val="22"/>
          <w:szCs w:val="22"/>
        </w:rPr>
        <w:t xml:space="preserve"> „(IKSA CENTRS) </w:t>
      </w:r>
      <w:proofErr w:type="spellStart"/>
      <w:r w:rsidRPr="00053FA9">
        <w:rPr>
          <w:bCs/>
          <w:sz w:val="22"/>
          <w:szCs w:val="22"/>
        </w:rPr>
        <w:t>Informācijas</w:t>
      </w:r>
      <w:proofErr w:type="spellEnd"/>
      <w:r w:rsidRPr="00053FA9">
        <w:rPr>
          <w:bCs/>
          <w:sz w:val="22"/>
          <w:szCs w:val="22"/>
        </w:rPr>
        <w:t xml:space="preserve">, </w:t>
      </w:r>
      <w:proofErr w:type="spellStart"/>
      <w:r w:rsidRPr="00053FA9">
        <w:rPr>
          <w:bCs/>
          <w:sz w:val="22"/>
          <w:szCs w:val="22"/>
        </w:rPr>
        <w:t>komunikāciju</w:t>
      </w:r>
      <w:proofErr w:type="spellEnd"/>
      <w:r w:rsidRPr="00053FA9">
        <w:rPr>
          <w:bCs/>
          <w:sz w:val="22"/>
          <w:szCs w:val="22"/>
        </w:rPr>
        <w:t xml:space="preserve"> un </w:t>
      </w:r>
      <w:proofErr w:type="spellStart"/>
      <w:r w:rsidRPr="00053FA9">
        <w:rPr>
          <w:bCs/>
          <w:sz w:val="22"/>
          <w:szCs w:val="22"/>
        </w:rPr>
        <w:t>signālapstrādes</w:t>
      </w:r>
      <w:proofErr w:type="spellEnd"/>
      <w:r w:rsidRPr="00053FA9">
        <w:rPr>
          <w:bCs/>
          <w:sz w:val="22"/>
          <w:szCs w:val="22"/>
        </w:rPr>
        <w:t xml:space="preserve"> </w:t>
      </w:r>
      <w:proofErr w:type="spellStart"/>
      <w:r w:rsidRPr="00053FA9">
        <w:rPr>
          <w:bCs/>
          <w:sz w:val="22"/>
          <w:szCs w:val="22"/>
        </w:rPr>
        <w:t>tehnoloģiju</w:t>
      </w:r>
      <w:proofErr w:type="spellEnd"/>
      <w:r w:rsidRPr="00053FA9">
        <w:rPr>
          <w:bCs/>
          <w:sz w:val="22"/>
          <w:szCs w:val="22"/>
        </w:rPr>
        <w:t xml:space="preserve"> </w:t>
      </w:r>
      <w:proofErr w:type="spellStart"/>
      <w:r w:rsidRPr="00053FA9">
        <w:rPr>
          <w:bCs/>
          <w:sz w:val="22"/>
          <w:szCs w:val="22"/>
        </w:rPr>
        <w:t>valsts</w:t>
      </w:r>
      <w:proofErr w:type="spellEnd"/>
      <w:r w:rsidRPr="00053FA9">
        <w:rPr>
          <w:bCs/>
          <w:sz w:val="22"/>
          <w:szCs w:val="22"/>
        </w:rPr>
        <w:t xml:space="preserve"> </w:t>
      </w:r>
      <w:proofErr w:type="spellStart"/>
      <w:r w:rsidRPr="00053FA9">
        <w:rPr>
          <w:bCs/>
          <w:sz w:val="22"/>
          <w:szCs w:val="22"/>
        </w:rPr>
        <w:t>nozīmes</w:t>
      </w:r>
      <w:proofErr w:type="spellEnd"/>
      <w:r w:rsidRPr="00053FA9">
        <w:rPr>
          <w:bCs/>
          <w:sz w:val="22"/>
          <w:szCs w:val="22"/>
        </w:rPr>
        <w:t xml:space="preserve"> </w:t>
      </w:r>
      <w:proofErr w:type="spellStart"/>
      <w:r w:rsidRPr="00053FA9">
        <w:rPr>
          <w:bCs/>
          <w:sz w:val="22"/>
          <w:szCs w:val="22"/>
        </w:rPr>
        <w:t>pētniecības</w:t>
      </w:r>
      <w:proofErr w:type="spellEnd"/>
      <w:r w:rsidRPr="00053FA9">
        <w:rPr>
          <w:bCs/>
          <w:sz w:val="22"/>
          <w:szCs w:val="22"/>
        </w:rPr>
        <w:t xml:space="preserve"> </w:t>
      </w:r>
      <w:proofErr w:type="spellStart"/>
      <w:r w:rsidRPr="00053FA9">
        <w:rPr>
          <w:bCs/>
          <w:sz w:val="22"/>
          <w:szCs w:val="22"/>
        </w:rPr>
        <w:t>centra</w:t>
      </w:r>
      <w:proofErr w:type="spellEnd"/>
      <w:r w:rsidRPr="00053FA9">
        <w:rPr>
          <w:bCs/>
          <w:sz w:val="22"/>
          <w:szCs w:val="22"/>
        </w:rPr>
        <w:t xml:space="preserve"> </w:t>
      </w:r>
      <w:proofErr w:type="spellStart"/>
      <w:r w:rsidRPr="00053FA9">
        <w:rPr>
          <w:bCs/>
          <w:sz w:val="22"/>
          <w:szCs w:val="22"/>
        </w:rPr>
        <w:t>izveide</w:t>
      </w:r>
      <w:proofErr w:type="spellEnd"/>
      <w:r w:rsidRPr="00053FA9">
        <w:rPr>
          <w:bCs/>
          <w:sz w:val="22"/>
          <w:szCs w:val="22"/>
        </w:rPr>
        <w:t>” (</w:t>
      </w:r>
      <w:proofErr w:type="spellStart"/>
      <w:r w:rsidRPr="00053FA9">
        <w:rPr>
          <w:bCs/>
          <w:sz w:val="22"/>
          <w:szCs w:val="22"/>
        </w:rPr>
        <w:t>vienošanās</w:t>
      </w:r>
      <w:proofErr w:type="spellEnd"/>
      <w:r w:rsidRPr="00053FA9">
        <w:rPr>
          <w:bCs/>
          <w:sz w:val="22"/>
          <w:szCs w:val="22"/>
        </w:rPr>
        <w:t xml:space="preserve"> Nr.2011/0044/2DP/2.1.1.3.1./11/IPIA/VIAA/006) </w:t>
      </w:r>
      <w:proofErr w:type="spellStart"/>
      <w:r w:rsidRPr="00053FA9">
        <w:rPr>
          <w:bCs/>
          <w:sz w:val="22"/>
          <w:szCs w:val="22"/>
        </w:rPr>
        <w:t>aktivitāšu</w:t>
      </w:r>
      <w:proofErr w:type="spellEnd"/>
      <w:r w:rsidRPr="00053FA9">
        <w:rPr>
          <w:bCs/>
          <w:sz w:val="22"/>
          <w:szCs w:val="22"/>
        </w:rPr>
        <w:t xml:space="preserve"> </w:t>
      </w:r>
      <w:proofErr w:type="spellStart"/>
      <w:r w:rsidRPr="00053FA9">
        <w:rPr>
          <w:bCs/>
          <w:sz w:val="22"/>
          <w:szCs w:val="22"/>
        </w:rPr>
        <w:t>ietvaros</w:t>
      </w:r>
      <w:proofErr w:type="spellEnd"/>
      <w:r w:rsidRPr="00053FA9">
        <w:rPr>
          <w:bCs/>
          <w:sz w:val="22"/>
          <w:szCs w:val="22"/>
        </w:rPr>
        <w:t>”</w:t>
      </w:r>
      <w:r w:rsidRPr="00053FA9">
        <w:rPr>
          <w:sz w:val="22"/>
          <w:szCs w:val="22"/>
        </w:rPr>
        <w:t xml:space="preserve">,  </w:t>
      </w:r>
      <w:proofErr w:type="spellStart"/>
      <w:r w:rsidRPr="00053FA9">
        <w:rPr>
          <w:sz w:val="22"/>
          <w:szCs w:val="22"/>
        </w:rPr>
        <w:t>iepirkuma</w:t>
      </w:r>
      <w:proofErr w:type="spellEnd"/>
      <w:r w:rsidRPr="00053FA9">
        <w:rPr>
          <w:sz w:val="22"/>
          <w:szCs w:val="22"/>
        </w:rPr>
        <w:t xml:space="preserve"> ID </w:t>
      </w:r>
      <w:proofErr w:type="spellStart"/>
      <w:r w:rsidRPr="00053FA9">
        <w:rPr>
          <w:sz w:val="22"/>
          <w:szCs w:val="22"/>
        </w:rPr>
        <w:t>Nr</w:t>
      </w:r>
      <w:proofErr w:type="spellEnd"/>
      <w:r w:rsidRPr="00053FA9">
        <w:rPr>
          <w:sz w:val="22"/>
          <w:szCs w:val="22"/>
        </w:rPr>
        <w:t>. RTU-2015/39</w:t>
      </w:r>
      <w:r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nolikumu</w:t>
      </w:r>
      <w:proofErr w:type="spellEnd"/>
      <w:r w:rsidRPr="001136BF">
        <w:rPr>
          <w:sz w:val="22"/>
          <w:szCs w:val="22"/>
        </w:rPr>
        <w:t xml:space="preserve"> un </w:t>
      </w:r>
      <w:proofErr w:type="spellStart"/>
      <w:r w:rsidRPr="001136BF">
        <w:rPr>
          <w:sz w:val="22"/>
          <w:szCs w:val="22"/>
        </w:rPr>
        <w:t>iesniedz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šādu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finanšu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piedāvājumu</w:t>
      </w:r>
      <w:proofErr w:type="spellEnd"/>
      <w:r w:rsidRPr="001136BF">
        <w:rPr>
          <w:sz w:val="22"/>
          <w:szCs w:val="22"/>
        </w:rPr>
        <w:t>:</w:t>
      </w:r>
    </w:p>
    <w:p w:rsidR="000C428E" w:rsidRPr="00EE28B6" w:rsidRDefault="000C428E" w:rsidP="000C428E">
      <w:pPr>
        <w:tabs>
          <w:tab w:val="left" w:pos="1620"/>
        </w:tabs>
        <w:spacing w:before="240" w:after="120"/>
        <w:ind w:left="1620" w:hanging="1620"/>
        <w:rPr>
          <w:sz w:val="22"/>
          <w:szCs w:val="22"/>
          <w:lang w:val="lv-LV"/>
        </w:rPr>
      </w:pPr>
      <w:r w:rsidRPr="00EE28B6">
        <w:rPr>
          <w:sz w:val="22"/>
          <w:szCs w:val="22"/>
          <w:u w:val="single"/>
          <w:lang w:val="lv-LV"/>
        </w:rPr>
        <w:t>Pielietojums:</w:t>
      </w:r>
      <w:r w:rsidRPr="00EE28B6">
        <w:rPr>
          <w:sz w:val="22"/>
          <w:szCs w:val="22"/>
          <w:lang w:val="lv-LV"/>
        </w:rPr>
        <w:tab/>
        <w:t>Integrālo shēmu izstrāde/pētniecība/testēšana</w:t>
      </w:r>
    </w:p>
    <w:p w:rsidR="000C428E" w:rsidRPr="00EE28B6" w:rsidRDefault="000C428E" w:rsidP="000C428E">
      <w:pPr>
        <w:tabs>
          <w:tab w:val="left" w:pos="1620"/>
        </w:tabs>
        <w:spacing w:before="240"/>
        <w:ind w:left="1622" w:hanging="1622"/>
        <w:rPr>
          <w:sz w:val="22"/>
          <w:szCs w:val="22"/>
          <w:u w:val="single"/>
          <w:lang w:val="lv-LV"/>
        </w:rPr>
      </w:pPr>
      <w:r w:rsidRPr="00EE28B6">
        <w:rPr>
          <w:sz w:val="22"/>
          <w:szCs w:val="22"/>
          <w:u w:val="single"/>
          <w:lang w:val="lv-LV"/>
        </w:rPr>
        <w:t>1. komplekta saturs:</w:t>
      </w:r>
    </w:p>
    <w:p w:rsidR="000C428E" w:rsidRPr="00EE28B6" w:rsidRDefault="000C428E" w:rsidP="000C428E">
      <w:pPr>
        <w:numPr>
          <w:ilvl w:val="0"/>
          <w:numId w:val="5"/>
        </w:numPr>
        <w:tabs>
          <w:tab w:val="clear" w:pos="1440"/>
        </w:tabs>
        <w:ind w:left="284" w:hanging="398"/>
        <w:rPr>
          <w:sz w:val="22"/>
          <w:szCs w:val="22"/>
          <w:lang w:val="lv-LV"/>
        </w:rPr>
      </w:pPr>
      <w:r w:rsidRPr="00EE28B6">
        <w:rPr>
          <w:sz w:val="22"/>
          <w:szCs w:val="22"/>
          <w:lang w:val="lv-LV"/>
        </w:rPr>
        <w:t xml:space="preserve">Integrālo shēmu izstrādes rīku kopa </w:t>
      </w:r>
      <w:r w:rsidRPr="00EE28B6">
        <w:rPr>
          <w:i/>
          <w:iCs/>
          <w:sz w:val="22"/>
          <w:szCs w:val="22"/>
          <w:lang w:val="lv-LV"/>
        </w:rPr>
        <w:t>CADENCE</w:t>
      </w:r>
      <w:r w:rsidRPr="00EE28B6">
        <w:rPr>
          <w:sz w:val="22"/>
          <w:szCs w:val="22"/>
          <w:lang w:val="lv-LV"/>
        </w:rPr>
        <w:t xml:space="preserve"> vai ekvivalents (2 licences)</w:t>
      </w:r>
    </w:p>
    <w:p w:rsidR="000C428E" w:rsidRPr="00EE28B6" w:rsidRDefault="000C428E" w:rsidP="000C428E">
      <w:pPr>
        <w:numPr>
          <w:ilvl w:val="0"/>
          <w:numId w:val="5"/>
        </w:numPr>
        <w:tabs>
          <w:tab w:val="clear" w:pos="1440"/>
        </w:tabs>
        <w:ind w:left="284" w:hanging="398"/>
        <w:rPr>
          <w:sz w:val="22"/>
          <w:szCs w:val="22"/>
          <w:lang w:val="lv-LV"/>
        </w:rPr>
      </w:pPr>
      <w:r w:rsidRPr="00EE28B6">
        <w:rPr>
          <w:sz w:val="22"/>
          <w:szCs w:val="22"/>
          <w:lang w:val="lv-LV"/>
        </w:rPr>
        <w:t xml:space="preserve">Integrālo shēmu izstrādes rīku kopa </w:t>
      </w:r>
      <w:proofErr w:type="spellStart"/>
      <w:r w:rsidRPr="00EE28B6">
        <w:rPr>
          <w:i/>
          <w:iCs/>
          <w:sz w:val="22"/>
          <w:szCs w:val="22"/>
          <w:lang w:val="lv-LV"/>
        </w:rPr>
        <w:t>Synopsis</w:t>
      </w:r>
      <w:proofErr w:type="spellEnd"/>
      <w:r w:rsidRPr="00EE28B6">
        <w:rPr>
          <w:sz w:val="22"/>
          <w:szCs w:val="22"/>
          <w:lang w:val="lv-LV"/>
        </w:rPr>
        <w:t xml:space="preserve"> vai ekvivalents (</w:t>
      </w:r>
      <w:r w:rsidR="00CD1A15">
        <w:rPr>
          <w:sz w:val="22"/>
          <w:szCs w:val="22"/>
          <w:lang w:val="lv-LV"/>
        </w:rPr>
        <w:t>1</w:t>
      </w:r>
      <w:r w:rsidRPr="00EE28B6">
        <w:rPr>
          <w:sz w:val="22"/>
          <w:szCs w:val="22"/>
          <w:lang w:val="lv-LV"/>
        </w:rPr>
        <w:t xml:space="preserve"> licences)</w:t>
      </w:r>
    </w:p>
    <w:p w:rsidR="000C428E" w:rsidRPr="00EE28B6" w:rsidRDefault="000C428E" w:rsidP="000C428E">
      <w:pPr>
        <w:numPr>
          <w:ilvl w:val="0"/>
          <w:numId w:val="5"/>
        </w:numPr>
        <w:tabs>
          <w:tab w:val="clear" w:pos="1440"/>
        </w:tabs>
        <w:ind w:left="284" w:hanging="398"/>
        <w:rPr>
          <w:sz w:val="22"/>
          <w:szCs w:val="22"/>
          <w:lang w:val="lv-LV"/>
        </w:rPr>
      </w:pPr>
      <w:r w:rsidRPr="00EE28B6">
        <w:rPr>
          <w:sz w:val="22"/>
          <w:szCs w:val="22"/>
          <w:lang w:val="lv-LV"/>
        </w:rPr>
        <w:t xml:space="preserve">Integrālo shēmu izstrādes rīku kopa </w:t>
      </w:r>
      <w:proofErr w:type="spellStart"/>
      <w:r w:rsidRPr="00EE28B6">
        <w:rPr>
          <w:i/>
          <w:iCs/>
          <w:sz w:val="22"/>
          <w:szCs w:val="22"/>
          <w:lang w:val="lv-LV"/>
        </w:rPr>
        <w:t>Mentor</w:t>
      </w:r>
      <w:proofErr w:type="spellEnd"/>
      <w:r w:rsidRPr="00EE28B6">
        <w:rPr>
          <w:i/>
          <w:iCs/>
          <w:sz w:val="22"/>
          <w:szCs w:val="22"/>
          <w:lang w:val="lv-LV"/>
        </w:rPr>
        <w:t xml:space="preserve"> </w:t>
      </w:r>
      <w:proofErr w:type="spellStart"/>
      <w:r w:rsidRPr="00EE28B6">
        <w:rPr>
          <w:i/>
          <w:iCs/>
          <w:sz w:val="22"/>
          <w:szCs w:val="22"/>
          <w:lang w:val="lv-LV"/>
        </w:rPr>
        <w:t>Graphics</w:t>
      </w:r>
      <w:proofErr w:type="spellEnd"/>
      <w:r w:rsidRPr="00EE28B6">
        <w:rPr>
          <w:sz w:val="22"/>
          <w:szCs w:val="22"/>
          <w:lang w:val="lv-LV"/>
        </w:rPr>
        <w:t xml:space="preserve"> vai ekvivalents (2 licences).</w:t>
      </w:r>
    </w:p>
    <w:p w:rsidR="000C428E" w:rsidRPr="00EE28B6" w:rsidRDefault="000C428E" w:rsidP="000C428E">
      <w:pPr>
        <w:tabs>
          <w:tab w:val="left" w:pos="1620"/>
        </w:tabs>
        <w:spacing w:before="240"/>
        <w:ind w:left="1622" w:hanging="1622"/>
        <w:rPr>
          <w:sz w:val="22"/>
          <w:szCs w:val="22"/>
          <w:u w:val="single"/>
          <w:lang w:val="lv-LV"/>
        </w:rPr>
      </w:pPr>
      <w:r w:rsidRPr="00EE28B6">
        <w:rPr>
          <w:sz w:val="22"/>
          <w:szCs w:val="22"/>
          <w:u w:val="single"/>
          <w:lang w:val="lv-LV"/>
        </w:rPr>
        <w:t>2. komplekta saturs:</w:t>
      </w:r>
    </w:p>
    <w:p w:rsidR="000C428E" w:rsidRPr="00EE28B6" w:rsidRDefault="000C428E" w:rsidP="000C428E">
      <w:pPr>
        <w:numPr>
          <w:ilvl w:val="0"/>
          <w:numId w:val="6"/>
        </w:numPr>
        <w:tabs>
          <w:tab w:val="clear" w:pos="1440"/>
        </w:tabs>
        <w:ind w:left="284" w:hanging="426"/>
        <w:jc w:val="both"/>
        <w:rPr>
          <w:sz w:val="22"/>
          <w:szCs w:val="22"/>
          <w:lang w:val="lv-LV"/>
        </w:rPr>
      </w:pPr>
      <w:proofErr w:type="spellStart"/>
      <w:r w:rsidRPr="00EE28B6">
        <w:rPr>
          <w:i/>
          <w:iCs/>
          <w:sz w:val="22"/>
          <w:szCs w:val="22"/>
          <w:lang w:val="lv-LV"/>
        </w:rPr>
        <w:t>Xilinx</w:t>
      </w:r>
      <w:proofErr w:type="spellEnd"/>
      <w:r w:rsidRPr="00EE28B6">
        <w:rPr>
          <w:sz w:val="22"/>
          <w:szCs w:val="22"/>
          <w:lang w:val="lv-LV"/>
        </w:rPr>
        <w:t xml:space="preserve"> FPGA un CPLD integrālo shēmu izstrādes rīku kopa (1 licence).</w:t>
      </w:r>
    </w:p>
    <w:p w:rsidR="000C428E" w:rsidRPr="00EE28B6" w:rsidRDefault="000C428E" w:rsidP="000C428E">
      <w:pPr>
        <w:numPr>
          <w:ilvl w:val="0"/>
          <w:numId w:val="6"/>
        </w:numPr>
        <w:tabs>
          <w:tab w:val="clear" w:pos="1440"/>
        </w:tabs>
        <w:ind w:left="284" w:hanging="426"/>
        <w:jc w:val="both"/>
        <w:rPr>
          <w:sz w:val="22"/>
          <w:szCs w:val="22"/>
          <w:lang w:val="lv-LV"/>
        </w:rPr>
      </w:pPr>
      <w:proofErr w:type="spellStart"/>
      <w:r w:rsidRPr="00EE28B6">
        <w:rPr>
          <w:i/>
          <w:iCs/>
          <w:sz w:val="22"/>
          <w:szCs w:val="22"/>
          <w:lang w:val="lv-LV"/>
        </w:rPr>
        <w:t>Altera</w:t>
      </w:r>
      <w:proofErr w:type="spellEnd"/>
      <w:r w:rsidRPr="00EE28B6">
        <w:rPr>
          <w:sz w:val="22"/>
          <w:szCs w:val="22"/>
          <w:lang w:val="lv-LV"/>
        </w:rPr>
        <w:t xml:space="preserve"> FPGA un CPLD integrālo shēmu izstrādes rīku kopa (1 licence).</w:t>
      </w:r>
    </w:p>
    <w:p w:rsidR="000C428E" w:rsidRPr="00EE28B6" w:rsidRDefault="000C428E" w:rsidP="000C428E">
      <w:pPr>
        <w:numPr>
          <w:ilvl w:val="0"/>
          <w:numId w:val="6"/>
        </w:numPr>
        <w:tabs>
          <w:tab w:val="clear" w:pos="1440"/>
        </w:tabs>
        <w:ind w:left="284" w:hanging="426"/>
        <w:jc w:val="both"/>
        <w:rPr>
          <w:sz w:val="22"/>
          <w:szCs w:val="22"/>
          <w:lang w:val="lv-LV"/>
        </w:rPr>
      </w:pPr>
      <w:r w:rsidRPr="00EE28B6">
        <w:rPr>
          <w:iCs/>
          <w:sz w:val="22"/>
          <w:szCs w:val="22"/>
          <w:lang w:val="lv-LV"/>
        </w:rPr>
        <w:t xml:space="preserve">Integrālo shēmu izstrādes rīku kopa </w:t>
      </w:r>
      <w:proofErr w:type="spellStart"/>
      <w:r w:rsidRPr="00EE28B6">
        <w:rPr>
          <w:i/>
          <w:iCs/>
          <w:sz w:val="22"/>
          <w:szCs w:val="22"/>
          <w:lang w:val="lv-LV"/>
        </w:rPr>
        <w:t>Tanner</w:t>
      </w:r>
      <w:proofErr w:type="spellEnd"/>
      <w:r w:rsidRPr="00EE28B6">
        <w:rPr>
          <w:i/>
          <w:iCs/>
          <w:sz w:val="22"/>
          <w:szCs w:val="22"/>
          <w:lang w:val="lv-LV"/>
        </w:rPr>
        <w:t xml:space="preserve"> </w:t>
      </w:r>
      <w:proofErr w:type="spellStart"/>
      <w:r w:rsidRPr="00EE28B6">
        <w:rPr>
          <w:i/>
          <w:iCs/>
          <w:sz w:val="22"/>
          <w:szCs w:val="22"/>
          <w:lang w:val="lv-LV"/>
        </w:rPr>
        <w:t>Tools</w:t>
      </w:r>
      <w:proofErr w:type="spellEnd"/>
      <w:r w:rsidRPr="00EE28B6">
        <w:rPr>
          <w:i/>
          <w:iCs/>
          <w:sz w:val="22"/>
          <w:szCs w:val="22"/>
          <w:lang w:val="lv-LV"/>
        </w:rPr>
        <w:t xml:space="preserve"> </w:t>
      </w:r>
      <w:proofErr w:type="spellStart"/>
      <w:r w:rsidRPr="00EE28B6">
        <w:rPr>
          <w:i/>
          <w:iCs/>
          <w:sz w:val="22"/>
          <w:szCs w:val="22"/>
          <w:lang w:val="lv-LV"/>
        </w:rPr>
        <w:t>Pro</w:t>
      </w:r>
      <w:proofErr w:type="spellEnd"/>
      <w:r w:rsidRPr="00EE28B6">
        <w:rPr>
          <w:i/>
          <w:iCs/>
          <w:sz w:val="22"/>
          <w:szCs w:val="22"/>
          <w:lang w:val="lv-LV"/>
        </w:rPr>
        <w:t xml:space="preserve"> </w:t>
      </w:r>
      <w:r w:rsidRPr="00EE28B6">
        <w:rPr>
          <w:iCs/>
          <w:sz w:val="22"/>
          <w:szCs w:val="22"/>
          <w:lang w:val="lv-LV"/>
        </w:rPr>
        <w:t>vai ekvivalents (1 licence).</w:t>
      </w:r>
    </w:p>
    <w:p w:rsidR="000C428E" w:rsidRDefault="000C428E" w:rsidP="000C428E">
      <w:pPr>
        <w:ind w:left="-142"/>
        <w:rPr>
          <w:lang w:val="lv-LV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530"/>
        <w:gridCol w:w="1435"/>
        <w:gridCol w:w="1440"/>
        <w:gridCol w:w="1281"/>
        <w:gridCol w:w="93"/>
        <w:gridCol w:w="1543"/>
      </w:tblGrid>
      <w:tr w:rsidR="00DA1FF4" w:rsidRPr="001C36E7" w:rsidTr="00DA1FF4">
        <w:trPr>
          <w:cantSplit/>
          <w:trHeight w:val="485"/>
          <w:jc w:val="center"/>
        </w:trPr>
        <w:tc>
          <w:tcPr>
            <w:tcW w:w="1710" w:type="dxa"/>
            <w:vAlign w:val="center"/>
          </w:tcPr>
          <w:p w:rsidR="00DA1FF4" w:rsidRPr="001C36E7" w:rsidRDefault="00DA1FF4" w:rsidP="00D73580">
            <w:pPr>
              <w:spacing w:before="20" w:after="20"/>
              <w:rPr>
                <w:b/>
                <w:sz w:val="20"/>
                <w:szCs w:val="20"/>
              </w:rPr>
            </w:pPr>
            <w:proofErr w:type="spellStart"/>
            <w:r w:rsidRPr="001C36E7">
              <w:rPr>
                <w:b/>
                <w:sz w:val="20"/>
                <w:szCs w:val="20"/>
              </w:rPr>
              <w:t>Preces</w:t>
            </w:r>
            <w:proofErr w:type="spellEnd"/>
            <w:r w:rsidRPr="001C36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36E7">
              <w:rPr>
                <w:b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530" w:type="dxa"/>
            <w:vMerge w:val="restart"/>
          </w:tcPr>
          <w:p w:rsidR="00DA1FF4" w:rsidRPr="001C36E7" w:rsidRDefault="00DA1FF4" w:rsidP="00D73580">
            <w:pPr>
              <w:spacing w:before="20" w:after="20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Nepieciešamais skaits</w:t>
            </w:r>
          </w:p>
        </w:tc>
        <w:tc>
          <w:tcPr>
            <w:tcW w:w="5792" w:type="dxa"/>
            <w:gridSpan w:val="5"/>
          </w:tcPr>
          <w:p w:rsidR="00DA1FF4" w:rsidRPr="001C36E7" w:rsidRDefault="00DA1FF4" w:rsidP="00D73580">
            <w:pPr>
              <w:spacing w:before="20" w:after="20"/>
              <w:jc w:val="center"/>
              <w:rPr>
                <w:b/>
                <w:sz w:val="20"/>
                <w:szCs w:val="20"/>
                <w:lang w:val="lv-LV"/>
              </w:rPr>
            </w:pPr>
            <w:r w:rsidRPr="00AD6F3F">
              <w:rPr>
                <w:b/>
                <w:sz w:val="20"/>
                <w:szCs w:val="20"/>
                <w:lang w:val="lv-LV"/>
              </w:rPr>
              <w:t>Finanšu piedāvājums*</w:t>
            </w:r>
          </w:p>
        </w:tc>
      </w:tr>
      <w:tr w:rsidR="00DA1FF4" w:rsidRPr="001C36E7" w:rsidTr="00DA1FF4">
        <w:trPr>
          <w:cantSplit/>
          <w:trHeight w:val="105"/>
          <w:jc w:val="center"/>
        </w:trPr>
        <w:tc>
          <w:tcPr>
            <w:tcW w:w="1710" w:type="dxa"/>
            <w:vMerge w:val="restart"/>
          </w:tcPr>
          <w:p w:rsidR="00DA1FF4" w:rsidRDefault="00DA1FF4" w:rsidP="00D73580">
            <w:pPr>
              <w:spacing w:before="240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DA1FF4" w:rsidRDefault="00DA1FF4" w:rsidP="00D73580">
            <w:pPr>
              <w:spacing w:before="240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DA1FF4" w:rsidRPr="001C36E7" w:rsidRDefault="00DA1FF4" w:rsidP="00D73580">
            <w:pPr>
              <w:spacing w:before="240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1C36E7">
              <w:rPr>
                <w:b/>
                <w:bCs/>
                <w:sz w:val="20"/>
                <w:szCs w:val="20"/>
                <w:lang w:val="lv-LV"/>
              </w:rPr>
              <w:t xml:space="preserve">Integrālo shēmu Izstrādes rīku kopa </w:t>
            </w:r>
            <w:r w:rsidRPr="001C36E7">
              <w:rPr>
                <w:b/>
                <w:bCs/>
                <w:i/>
                <w:iCs/>
                <w:sz w:val="20"/>
                <w:szCs w:val="20"/>
                <w:lang w:val="lv-LV"/>
              </w:rPr>
              <w:t>CADENCE</w:t>
            </w:r>
            <w:r w:rsidRPr="001C36E7">
              <w:rPr>
                <w:b/>
                <w:bCs/>
                <w:sz w:val="20"/>
                <w:szCs w:val="20"/>
                <w:lang w:val="lv-LV"/>
              </w:rPr>
              <w:t xml:space="preserve"> vai ekvivalents</w:t>
            </w:r>
          </w:p>
        </w:tc>
        <w:tc>
          <w:tcPr>
            <w:tcW w:w="1530" w:type="dxa"/>
            <w:vMerge/>
          </w:tcPr>
          <w:p w:rsidR="00DA1FF4" w:rsidRPr="001C36E7" w:rsidRDefault="00DA1FF4" w:rsidP="00D7358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35" w:type="dxa"/>
          </w:tcPr>
          <w:p w:rsidR="00DA1FF4" w:rsidRPr="001C36E7" w:rsidRDefault="00DA1FF4" w:rsidP="00D73580">
            <w:pPr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Vienas licences</w:t>
            </w:r>
            <w:r w:rsidRPr="001C36E7">
              <w:rPr>
                <w:b/>
                <w:sz w:val="20"/>
                <w:szCs w:val="20"/>
                <w:lang w:val="lv-LV"/>
              </w:rPr>
              <w:t xml:space="preserve"> cena EUR bez PVN</w:t>
            </w:r>
          </w:p>
        </w:tc>
        <w:tc>
          <w:tcPr>
            <w:tcW w:w="1440" w:type="dxa"/>
          </w:tcPr>
          <w:p w:rsidR="00DA1FF4" w:rsidRPr="001C36E7" w:rsidRDefault="00DA1FF4" w:rsidP="00D73580">
            <w:pPr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Cena kopā EUR bez PVN</w:t>
            </w:r>
          </w:p>
        </w:tc>
        <w:tc>
          <w:tcPr>
            <w:tcW w:w="1281" w:type="dxa"/>
          </w:tcPr>
          <w:p w:rsidR="00DA1FF4" w:rsidRDefault="00DA1FF4" w:rsidP="00D73580">
            <w:pPr>
              <w:rPr>
                <w:b/>
                <w:sz w:val="20"/>
                <w:szCs w:val="20"/>
                <w:lang w:val="lv-LV"/>
              </w:rPr>
            </w:pPr>
            <w:r w:rsidRPr="001C36E7">
              <w:rPr>
                <w:b/>
                <w:sz w:val="20"/>
                <w:szCs w:val="20"/>
                <w:lang w:val="lv-LV"/>
              </w:rPr>
              <w:t>PVN</w:t>
            </w:r>
          </w:p>
        </w:tc>
        <w:tc>
          <w:tcPr>
            <w:tcW w:w="1636" w:type="dxa"/>
            <w:gridSpan w:val="2"/>
          </w:tcPr>
          <w:p w:rsidR="00DA1FF4" w:rsidRPr="001C36E7" w:rsidRDefault="00DA1FF4" w:rsidP="00D73580">
            <w:pPr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Kopējā c</w:t>
            </w:r>
            <w:r w:rsidRPr="001C36E7">
              <w:rPr>
                <w:b/>
                <w:sz w:val="20"/>
                <w:szCs w:val="20"/>
                <w:lang w:val="lv-LV"/>
              </w:rPr>
              <w:t>ena EUR ar PVN</w:t>
            </w:r>
          </w:p>
        </w:tc>
      </w:tr>
      <w:tr w:rsidR="00DA1FF4" w:rsidRPr="001C36E7" w:rsidTr="00DA1FF4">
        <w:trPr>
          <w:cantSplit/>
          <w:trHeight w:val="1358"/>
          <w:jc w:val="center"/>
        </w:trPr>
        <w:tc>
          <w:tcPr>
            <w:tcW w:w="1710" w:type="dxa"/>
            <w:vMerge/>
          </w:tcPr>
          <w:p w:rsidR="00DA1FF4" w:rsidRPr="001C36E7" w:rsidRDefault="00DA1FF4" w:rsidP="00D7358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530" w:type="dxa"/>
          </w:tcPr>
          <w:p w:rsidR="00DA1FF4" w:rsidRPr="00AD6F3F" w:rsidRDefault="00DA1FF4" w:rsidP="00D73580">
            <w:pPr>
              <w:rPr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AD6F3F">
              <w:rPr>
                <w:bCs/>
                <w:sz w:val="20"/>
                <w:szCs w:val="20"/>
                <w:lang w:val="lv-LV"/>
              </w:rPr>
              <w:t>2 gab. licences</w:t>
            </w:r>
            <w:r>
              <w:rPr>
                <w:b/>
                <w:sz w:val="20"/>
                <w:szCs w:val="20"/>
                <w:lang w:val="lv-LV"/>
              </w:rPr>
              <w:t>**</w:t>
            </w:r>
          </w:p>
        </w:tc>
        <w:tc>
          <w:tcPr>
            <w:tcW w:w="1435" w:type="dxa"/>
          </w:tcPr>
          <w:p w:rsidR="00DA1FF4" w:rsidRPr="001C36E7" w:rsidRDefault="00DA1FF4" w:rsidP="00D7358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DA1FF4" w:rsidRPr="001C36E7" w:rsidRDefault="00DA1FF4" w:rsidP="00D7358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81" w:type="dxa"/>
          </w:tcPr>
          <w:p w:rsidR="00DA1FF4" w:rsidRPr="001C36E7" w:rsidRDefault="00DA1FF4" w:rsidP="00D7358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636" w:type="dxa"/>
            <w:gridSpan w:val="2"/>
          </w:tcPr>
          <w:p w:rsidR="00DA1FF4" w:rsidRPr="001C36E7" w:rsidRDefault="00DA1FF4" w:rsidP="00D7358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DA1FF4" w:rsidRPr="001C36E7" w:rsidTr="00DA1FF4">
        <w:trPr>
          <w:cantSplit/>
          <w:trHeight w:val="1007"/>
          <w:jc w:val="center"/>
        </w:trPr>
        <w:tc>
          <w:tcPr>
            <w:tcW w:w="1710" w:type="dxa"/>
          </w:tcPr>
          <w:p w:rsidR="00DA1FF4" w:rsidRPr="001C36E7" w:rsidRDefault="00DA1FF4" w:rsidP="00D73580">
            <w:pPr>
              <w:spacing w:before="240" w:after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Integrālo shēmu izstrādes rīku kopa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Synopsis</w:t>
            </w:r>
            <w:proofErr w:type="spellEnd"/>
            <w:r>
              <w:rPr>
                <w:b/>
                <w:bCs/>
                <w:sz w:val="20"/>
                <w:szCs w:val="20"/>
                <w:lang w:val="lv-LV"/>
              </w:rPr>
              <w:t xml:space="preserve"> vai ekvivalents</w:t>
            </w:r>
          </w:p>
        </w:tc>
        <w:tc>
          <w:tcPr>
            <w:tcW w:w="1530" w:type="dxa"/>
          </w:tcPr>
          <w:p w:rsidR="00DA1FF4" w:rsidRPr="001C36E7" w:rsidRDefault="00DA1FF4" w:rsidP="00D735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lv-LV"/>
              </w:rPr>
              <w:t>1</w:t>
            </w:r>
            <w:r w:rsidRPr="00AD6F3F">
              <w:rPr>
                <w:bCs/>
                <w:sz w:val="20"/>
                <w:szCs w:val="20"/>
                <w:lang w:val="lv-LV"/>
              </w:rPr>
              <w:t>gab. licences</w:t>
            </w:r>
            <w:r>
              <w:rPr>
                <w:b/>
                <w:sz w:val="20"/>
                <w:szCs w:val="20"/>
                <w:lang w:val="lv-LV"/>
              </w:rPr>
              <w:t>**</w:t>
            </w:r>
          </w:p>
        </w:tc>
        <w:tc>
          <w:tcPr>
            <w:tcW w:w="1435" w:type="dxa"/>
          </w:tcPr>
          <w:p w:rsidR="00DA1FF4" w:rsidRPr="001C36E7" w:rsidRDefault="00DA1FF4" w:rsidP="00D735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DA1FF4" w:rsidRPr="001C36E7" w:rsidRDefault="00DA1FF4" w:rsidP="00D735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</w:tcPr>
          <w:p w:rsidR="00DA1FF4" w:rsidRPr="001C36E7" w:rsidRDefault="00DA1FF4" w:rsidP="00D735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DA1FF4" w:rsidRPr="001C36E7" w:rsidRDefault="00DA1FF4" w:rsidP="00D735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A1FF4" w:rsidRPr="001C36E7" w:rsidTr="00DA1FF4">
        <w:trPr>
          <w:cantSplit/>
          <w:trHeight w:val="3030"/>
          <w:jc w:val="center"/>
        </w:trPr>
        <w:tc>
          <w:tcPr>
            <w:tcW w:w="1710" w:type="dxa"/>
          </w:tcPr>
          <w:p w:rsidR="00DA1FF4" w:rsidRPr="001C36E7" w:rsidRDefault="00DA1FF4" w:rsidP="00D73580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Integrālo shēmu izstrādes rīku kopa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Mentor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Graphics</w:t>
            </w:r>
            <w:proofErr w:type="spellEnd"/>
            <w:r>
              <w:rPr>
                <w:b/>
                <w:bCs/>
                <w:sz w:val="20"/>
                <w:szCs w:val="20"/>
                <w:lang w:val="lv-LV"/>
              </w:rPr>
              <w:t xml:space="preserve"> vai ekvivalents</w:t>
            </w:r>
          </w:p>
        </w:tc>
        <w:tc>
          <w:tcPr>
            <w:tcW w:w="1530" w:type="dxa"/>
          </w:tcPr>
          <w:p w:rsidR="00DA1FF4" w:rsidRPr="001C36E7" w:rsidRDefault="00DA1FF4" w:rsidP="00D73580">
            <w:pPr>
              <w:spacing w:before="20" w:after="20"/>
              <w:rPr>
                <w:sz w:val="20"/>
                <w:szCs w:val="20"/>
              </w:rPr>
            </w:pPr>
            <w:r w:rsidRPr="00AD6F3F">
              <w:rPr>
                <w:bCs/>
                <w:sz w:val="20"/>
                <w:szCs w:val="20"/>
                <w:lang w:val="lv-LV"/>
              </w:rPr>
              <w:t>2 gab. licences</w:t>
            </w:r>
            <w:r>
              <w:rPr>
                <w:b/>
                <w:sz w:val="20"/>
                <w:szCs w:val="20"/>
                <w:lang w:val="lv-LV"/>
              </w:rPr>
              <w:t>**</w:t>
            </w:r>
          </w:p>
        </w:tc>
        <w:tc>
          <w:tcPr>
            <w:tcW w:w="1435" w:type="dxa"/>
          </w:tcPr>
          <w:p w:rsidR="00DA1FF4" w:rsidRPr="001C36E7" w:rsidRDefault="00DA1FF4" w:rsidP="00D73580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DA1FF4" w:rsidRPr="001C36E7" w:rsidRDefault="00DA1FF4" w:rsidP="00D73580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DA1FF4" w:rsidRPr="001C36E7" w:rsidRDefault="00DA1FF4" w:rsidP="00D73580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DA1FF4" w:rsidRPr="001C36E7" w:rsidRDefault="00DA1FF4" w:rsidP="00D7358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A1FF4" w:rsidRPr="001C36E7" w:rsidTr="00DA1FF4">
        <w:trPr>
          <w:cantSplit/>
          <w:trHeight w:val="2470"/>
          <w:jc w:val="center"/>
        </w:trPr>
        <w:tc>
          <w:tcPr>
            <w:tcW w:w="1710" w:type="dxa"/>
          </w:tcPr>
          <w:p w:rsidR="00DA1FF4" w:rsidRPr="001C36E7" w:rsidRDefault="00DA1FF4" w:rsidP="00D73580">
            <w:pPr>
              <w:spacing w:before="240" w:after="20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proofErr w:type="spellStart"/>
            <w:r w:rsidRPr="001C36E7">
              <w:rPr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Xilinx</w:t>
            </w:r>
            <w:proofErr w:type="spellEnd"/>
            <w:r w:rsidRPr="001C36E7">
              <w:rPr>
                <w:b/>
                <w:bCs/>
                <w:sz w:val="20"/>
                <w:szCs w:val="20"/>
                <w:lang w:val="lv-LV"/>
              </w:rPr>
              <w:t xml:space="preserve"> FPGA un CPLD integrālo shēmu izstrādes rīku kopa</w:t>
            </w:r>
          </w:p>
        </w:tc>
        <w:tc>
          <w:tcPr>
            <w:tcW w:w="1530" w:type="dxa"/>
          </w:tcPr>
          <w:p w:rsidR="00DA1FF4" w:rsidRPr="001C36E7" w:rsidRDefault="00DA1FF4" w:rsidP="00D7358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gab. licence</w:t>
            </w:r>
          </w:p>
        </w:tc>
        <w:tc>
          <w:tcPr>
            <w:tcW w:w="1435" w:type="dxa"/>
          </w:tcPr>
          <w:p w:rsidR="00DA1FF4" w:rsidRPr="001C36E7" w:rsidRDefault="00DA1FF4" w:rsidP="00D73580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A1FF4" w:rsidRPr="001C36E7" w:rsidRDefault="00DA1FF4" w:rsidP="00D73580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DA1FF4" w:rsidRPr="001C36E7" w:rsidRDefault="00DA1FF4" w:rsidP="00D73580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DA1FF4" w:rsidRPr="001C36E7" w:rsidRDefault="00DA1FF4" w:rsidP="00D7358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A1FF4" w:rsidRPr="001C36E7" w:rsidTr="00DA1FF4">
        <w:trPr>
          <w:cantSplit/>
          <w:trHeight w:val="2470"/>
          <w:jc w:val="center"/>
        </w:trPr>
        <w:tc>
          <w:tcPr>
            <w:tcW w:w="1710" w:type="dxa"/>
          </w:tcPr>
          <w:p w:rsidR="00DA1FF4" w:rsidRPr="001C36E7" w:rsidRDefault="00DA1FF4" w:rsidP="00D73580">
            <w:pPr>
              <w:spacing w:before="240" w:after="20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Altera</w:t>
            </w:r>
            <w:proofErr w:type="spellEnd"/>
            <w:r>
              <w:rPr>
                <w:b/>
                <w:bCs/>
                <w:sz w:val="20"/>
                <w:szCs w:val="20"/>
                <w:lang w:val="lv-LV"/>
              </w:rPr>
              <w:t xml:space="preserve"> FPGA un CPLD integrālo shēmu izstrādes rīku kopa</w:t>
            </w:r>
          </w:p>
        </w:tc>
        <w:tc>
          <w:tcPr>
            <w:tcW w:w="1530" w:type="dxa"/>
          </w:tcPr>
          <w:p w:rsidR="00DA1FF4" w:rsidRPr="00AD6F3F" w:rsidRDefault="00DA1FF4" w:rsidP="00D7358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gab. licence</w:t>
            </w:r>
          </w:p>
        </w:tc>
        <w:tc>
          <w:tcPr>
            <w:tcW w:w="1435" w:type="dxa"/>
          </w:tcPr>
          <w:p w:rsidR="00DA1FF4" w:rsidRPr="001C36E7" w:rsidRDefault="00DA1FF4" w:rsidP="00D73580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A1FF4" w:rsidRPr="001C36E7" w:rsidRDefault="00DA1FF4" w:rsidP="00D73580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DA1FF4" w:rsidRPr="001C36E7" w:rsidRDefault="00DA1FF4" w:rsidP="00D73580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DA1FF4" w:rsidRPr="001C36E7" w:rsidRDefault="00DA1FF4" w:rsidP="00D7358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A1FF4" w:rsidRPr="001C36E7" w:rsidTr="00DA1FF4">
        <w:trPr>
          <w:cantSplit/>
          <w:trHeight w:val="2510"/>
          <w:jc w:val="center"/>
        </w:trPr>
        <w:tc>
          <w:tcPr>
            <w:tcW w:w="1710" w:type="dxa"/>
          </w:tcPr>
          <w:p w:rsidR="00DA1FF4" w:rsidRPr="001C36E7" w:rsidRDefault="00DA1FF4" w:rsidP="00D73580">
            <w:pPr>
              <w:spacing w:before="240" w:after="20"/>
              <w:jc w:val="center"/>
              <w:rPr>
                <w:b/>
                <w:bCs/>
                <w:iCs/>
                <w:sz w:val="20"/>
                <w:szCs w:val="20"/>
                <w:lang w:val="lv-LV"/>
              </w:rPr>
            </w:pPr>
            <w:r>
              <w:rPr>
                <w:b/>
                <w:bCs/>
                <w:iCs/>
                <w:sz w:val="20"/>
                <w:szCs w:val="20"/>
                <w:lang w:val="lv-LV"/>
              </w:rPr>
              <w:t xml:space="preserve">Integrālo shēmu izstrādes rīku kopa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Tanner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Tools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Pro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  <w:lang w:val="lv-LV"/>
              </w:rPr>
              <w:t>vai ekvivalents</w:t>
            </w:r>
          </w:p>
        </w:tc>
        <w:tc>
          <w:tcPr>
            <w:tcW w:w="1530" w:type="dxa"/>
          </w:tcPr>
          <w:p w:rsidR="00DA1FF4" w:rsidRPr="001C36E7" w:rsidRDefault="00DA1FF4" w:rsidP="00D73580">
            <w:pPr>
              <w:spacing w:before="20" w:after="2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1 gab. </w:t>
            </w:r>
            <w:r>
              <w:rPr>
                <w:sz w:val="20"/>
                <w:szCs w:val="20"/>
              </w:rPr>
              <w:t>licence**</w:t>
            </w:r>
          </w:p>
        </w:tc>
        <w:tc>
          <w:tcPr>
            <w:tcW w:w="1435" w:type="dxa"/>
          </w:tcPr>
          <w:p w:rsidR="00DA1FF4" w:rsidRPr="001C36E7" w:rsidRDefault="00DA1FF4" w:rsidP="00D73580">
            <w:pPr>
              <w:spacing w:before="20" w:after="20"/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DA1FF4" w:rsidRPr="001C36E7" w:rsidRDefault="00DA1FF4" w:rsidP="00D73580">
            <w:pPr>
              <w:spacing w:before="20" w:after="20"/>
              <w:rPr>
                <w:sz w:val="20"/>
                <w:szCs w:val="20"/>
                <w:lang w:val="lv-LV"/>
              </w:rPr>
            </w:pPr>
          </w:p>
        </w:tc>
        <w:tc>
          <w:tcPr>
            <w:tcW w:w="1374" w:type="dxa"/>
            <w:gridSpan w:val="2"/>
          </w:tcPr>
          <w:p w:rsidR="00DA1FF4" w:rsidRPr="001C36E7" w:rsidRDefault="00DA1FF4" w:rsidP="00D73580">
            <w:pPr>
              <w:spacing w:before="20" w:after="20"/>
              <w:rPr>
                <w:sz w:val="20"/>
                <w:szCs w:val="20"/>
                <w:lang w:val="lv-LV"/>
              </w:rPr>
            </w:pPr>
          </w:p>
        </w:tc>
        <w:tc>
          <w:tcPr>
            <w:tcW w:w="1543" w:type="dxa"/>
          </w:tcPr>
          <w:p w:rsidR="00DA1FF4" w:rsidRPr="001C36E7" w:rsidRDefault="00DA1FF4" w:rsidP="00D73580">
            <w:pPr>
              <w:spacing w:before="20" w:after="20"/>
              <w:rPr>
                <w:sz w:val="20"/>
                <w:szCs w:val="20"/>
                <w:lang w:val="lv-LV"/>
              </w:rPr>
            </w:pPr>
          </w:p>
        </w:tc>
      </w:tr>
      <w:tr w:rsidR="00F13B42" w:rsidRPr="001C36E7" w:rsidTr="00444404">
        <w:trPr>
          <w:gridAfter w:val="3"/>
          <w:wAfter w:w="2917" w:type="dxa"/>
          <w:cantSplit/>
          <w:trHeight w:val="540"/>
          <w:jc w:val="center"/>
        </w:trPr>
        <w:tc>
          <w:tcPr>
            <w:tcW w:w="4675" w:type="dxa"/>
            <w:gridSpan w:val="3"/>
          </w:tcPr>
          <w:p w:rsidR="00F13B42" w:rsidRPr="00F13B42" w:rsidRDefault="00F13B42" w:rsidP="00D73580">
            <w:pPr>
              <w:spacing w:before="20" w:after="20"/>
              <w:rPr>
                <w:b/>
                <w:sz w:val="20"/>
                <w:szCs w:val="20"/>
                <w:lang w:val="lv-LV"/>
              </w:rPr>
            </w:pPr>
            <w:r w:rsidRPr="00F13B42">
              <w:rPr>
                <w:b/>
                <w:sz w:val="20"/>
                <w:szCs w:val="20"/>
                <w:lang w:val="lv-LV"/>
              </w:rPr>
              <w:t xml:space="preserve">Kopējā cena </w:t>
            </w:r>
            <w:r>
              <w:rPr>
                <w:b/>
                <w:sz w:val="20"/>
                <w:szCs w:val="20"/>
                <w:lang w:val="lv-LV"/>
              </w:rPr>
              <w:t>EUR bez PVN par visām pozīcijām</w:t>
            </w:r>
          </w:p>
        </w:tc>
        <w:tc>
          <w:tcPr>
            <w:tcW w:w="1440" w:type="dxa"/>
          </w:tcPr>
          <w:p w:rsidR="00F13B42" w:rsidRPr="001C36E7" w:rsidRDefault="00F13B42" w:rsidP="00D73580">
            <w:pPr>
              <w:spacing w:before="20" w:after="20"/>
              <w:rPr>
                <w:sz w:val="20"/>
                <w:szCs w:val="20"/>
                <w:lang w:val="lv-LV"/>
              </w:rPr>
            </w:pPr>
            <w:bookmarkStart w:id="0" w:name="_GoBack"/>
            <w:bookmarkEnd w:id="0"/>
          </w:p>
        </w:tc>
      </w:tr>
    </w:tbl>
    <w:p w:rsidR="000C428E" w:rsidRDefault="000C428E" w:rsidP="000C428E">
      <w:pPr>
        <w:rPr>
          <w:lang w:val="lv-LV"/>
        </w:rPr>
      </w:pPr>
    </w:p>
    <w:p w:rsidR="000C428E" w:rsidRPr="00457E9C" w:rsidRDefault="000C428E" w:rsidP="000C428E">
      <w:pPr>
        <w:jc w:val="both"/>
        <w:rPr>
          <w:i/>
          <w:sz w:val="22"/>
          <w:szCs w:val="22"/>
          <w:lang w:val="lv-LV"/>
        </w:rPr>
      </w:pPr>
      <w:r w:rsidRPr="00F127E2">
        <w:rPr>
          <w:bCs/>
          <w:i/>
          <w:sz w:val="22"/>
          <w:szCs w:val="22"/>
          <w:lang w:val="lv-LV"/>
        </w:rPr>
        <w:t xml:space="preserve">* </w:t>
      </w:r>
      <w:r w:rsidRPr="00F127E2">
        <w:rPr>
          <w:i/>
          <w:sz w:val="22"/>
          <w:szCs w:val="22"/>
          <w:lang w:val="lv-LV"/>
        </w:rPr>
        <w:t>Cena norādāma ar visiem nodokļiem un nodevām, ar ko var tikt aplikts iepirkuma priekšmets, izņemot PVN, ar precizitāti 2 (divas) zīmes aiz komata. Piedāvātajā cenā ir ietvertas visas iespējamās izmaksas, kas saistītas ar paredzamā iepirkuma līguma pilnīgu izpildi, tajā skaitā iespējamie sadārdzinājumi un visi riski.</w:t>
      </w:r>
      <w:r w:rsidRPr="00F127E2">
        <w:rPr>
          <w:i/>
          <w:sz w:val="22"/>
          <w:szCs w:val="22"/>
          <w:lang w:val="lv-LV"/>
        </w:rPr>
        <w:tab/>
      </w:r>
    </w:p>
    <w:p w:rsidR="000C428E" w:rsidRDefault="000C428E" w:rsidP="000C428E">
      <w:pPr>
        <w:rPr>
          <w:i/>
          <w:sz w:val="22"/>
          <w:szCs w:val="22"/>
          <w:lang w:val="lv-LV"/>
        </w:rPr>
      </w:pPr>
    </w:p>
    <w:p w:rsidR="000C428E" w:rsidRDefault="000C428E" w:rsidP="000C428E">
      <w:pPr>
        <w:widowControl w:val="0"/>
        <w:ind w:left="-142"/>
        <w:jc w:val="both"/>
        <w:rPr>
          <w:sz w:val="22"/>
          <w:szCs w:val="22"/>
          <w:lang w:val="lv-LV"/>
        </w:rPr>
      </w:pPr>
      <w:r w:rsidRPr="00F127E2">
        <w:rPr>
          <w:lang w:val="lv-LV"/>
        </w:rPr>
        <w:t xml:space="preserve">** </w:t>
      </w:r>
      <w:r w:rsidRPr="00F127E2">
        <w:rPr>
          <w:b/>
          <w:sz w:val="22"/>
          <w:szCs w:val="22"/>
          <w:lang w:val="lv-LV"/>
        </w:rPr>
        <w:t xml:space="preserve">Pasūtītājam pēc piedāvājuma saņemšanas un pirms līguma noslēgšanas ir tiesības atteikties no 1.iepirkuma daļas atsevišķām pozīcijām, </w:t>
      </w:r>
      <w:r>
        <w:rPr>
          <w:sz w:val="22"/>
          <w:szCs w:val="22"/>
          <w:lang w:val="lv-LV"/>
        </w:rPr>
        <w:t>šādā secībā:</w:t>
      </w:r>
    </w:p>
    <w:p w:rsidR="000C428E" w:rsidRPr="000C428E" w:rsidRDefault="000C428E" w:rsidP="000C428E">
      <w:pPr>
        <w:pStyle w:val="ListParagraph"/>
        <w:widowControl w:val="0"/>
        <w:numPr>
          <w:ilvl w:val="0"/>
          <w:numId w:val="16"/>
        </w:numPr>
        <w:jc w:val="both"/>
        <w:rPr>
          <w:sz w:val="22"/>
          <w:szCs w:val="22"/>
          <w:lang w:val="lv-LV"/>
        </w:rPr>
      </w:pPr>
      <w:r w:rsidRPr="000C428E">
        <w:rPr>
          <w:sz w:val="22"/>
          <w:szCs w:val="22"/>
          <w:lang w:val="lv-LV"/>
        </w:rPr>
        <w:t>1.komplekta 2.pozīcijas</w:t>
      </w:r>
      <w:r w:rsidRPr="000C428E">
        <w:rPr>
          <w:b/>
          <w:bCs/>
          <w:sz w:val="22"/>
          <w:szCs w:val="22"/>
          <w:lang w:val="lv-LV"/>
        </w:rPr>
        <w:t xml:space="preserve"> “</w:t>
      </w:r>
      <w:r w:rsidRPr="000C428E">
        <w:rPr>
          <w:bCs/>
          <w:sz w:val="22"/>
          <w:szCs w:val="22"/>
          <w:lang w:val="lv-LV"/>
        </w:rPr>
        <w:t xml:space="preserve">Integrālo shēmu izstrādes rīku kopa </w:t>
      </w:r>
      <w:proofErr w:type="spellStart"/>
      <w:r w:rsidRPr="000C428E">
        <w:rPr>
          <w:bCs/>
          <w:sz w:val="22"/>
          <w:szCs w:val="22"/>
          <w:lang w:val="lv-LV"/>
        </w:rPr>
        <w:t>Synopsis</w:t>
      </w:r>
      <w:proofErr w:type="spellEnd"/>
      <w:r w:rsidRPr="000C428E">
        <w:rPr>
          <w:bCs/>
          <w:sz w:val="22"/>
          <w:szCs w:val="22"/>
          <w:lang w:val="lv-LV"/>
        </w:rPr>
        <w:t xml:space="preserve"> vai ekvivalents”</w:t>
      </w:r>
      <w:r w:rsidRPr="000C428E">
        <w:rPr>
          <w:iCs/>
          <w:sz w:val="22"/>
          <w:szCs w:val="22"/>
          <w:lang w:val="lv-LV"/>
        </w:rPr>
        <w:t xml:space="preserve">; </w:t>
      </w:r>
    </w:p>
    <w:p w:rsidR="000C428E" w:rsidRPr="000C428E" w:rsidRDefault="000C428E" w:rsidP="000C428E">
      <w:pPr>
        <w:pStyle w:val="ListParagraph"/>
        <w:widowControl w:val="0"/>
        <w:numPr>
          <w:ilvl w:val="0"/>
          <w:numId w:val="16"/>
        </w:numPr>
        <w:jc w:val="both"/>
        <w:rPr>
          <w:sz w:val="22"/>
          <w:szCs w:val="22"/>
          <w:lang w:val="lv-LV"/>
        </w:rPr>
      </w:pPr>
      <w:r w:rsidRPr="000C428E">
        <w:rPr>
          <w:sz w:val="22"/>
          <w:szCs w:val="22"/>
          <w:lang w:val="lv-LV"/>
        </w:rPr>
        <w:t xml:space="preserve">2.komplekta </w:t>
      </w:r>
      <w:r w:rsidRPr="000C428E">
        <w:rPr>
          <w:iCs/>
          <w:sz w:val="22"/>
          <w:szCs w:val="22"/>
          <w:lang w:val="lv-LV"/>
        </w:rPr>
        <w:t xml:space="preserve">3.pozīcijas “Integrālo shēmu izstrādes rīku kopa </w:t>
      </w:r>
      <w:proofErr w:type="spellStart"/>
      <w:r w:rsidRPr="000C428E">
        <w:rPr>
          <w:i/>
          <w:iCs/>
          <w:sz w:val="22"/>
          <w:szCs w:val="22"/>
          <w:lang w:val="lv-LV"/>
        </w:rPr>
        <w:t>Tanner</w:t>
      </w:r>
      <w:proofErr w:type="spellEnd"/>
      <w:r w:rsidRPr="000C428E">
        <w:rPr>
          <w:i/>
          <w:iCs/>
          <w:sz w:val="22"/>
          <w:szCs w:val="22"/>
          <w:lang w:val="lv-LV"/>
        </w:rPr>
        <w:t xml:space="preserve"> </w:t>
      </w:r>
      <w:proofErr w:type="spellStart"/>
      <w:r w:rsidRPr="000C428E">
        <w:rPr>
          <w:i/>
          <w:iCs/>
          <w:sz w:val="22"/>
          <w:szCs w:val="22"/>
          <w:lang w:val="lv-LV"/>
        </w:rPr>
        <w:t>Tools</w:t>
      </w:r>
      <w:proofErr w:type="spellEnd"/>
      <w:r w:rsidRPr="000C428E">
        <w:rPr>
          <w:i/>
          <w:iCs/>
          <w:sz w:val="22"/>
          <w:szCs w:val="22"/>
          <w:lang w:val="lv-LV"/>
        </w:rPr>
        <w:t xml:space="preserve"> </w:t>
      </w:r>
      <w:proofErr w:type="spellStart"/>
      <w:r w:rsidRPr="000C428E">
        <w:rPr>
          <w:i/>
          <w:iCs/>
          <w:sz w:val="22"/>
          <w:szCs w:val="22"/>
          <w:lang w:val="lv-LV"/>
        </w:rPr>
        <w:t>Pro</w:t>
      </w:r>
      <w:proofErr w:type="spellEnd"/>
      <w:r w:rsidRPr="000C428E">
        <w:rPr>
          <w:i/>
          <w:iCs/>
          <w:sz w:val="22"/>
          <w:szCs w:val="22"/>
          <w:lang w:val="lv-LV"/>
        </w:rPr>
        <w:t xml:space="preserve"> </w:t>
      </w:r>
      <w:r w:rsidRPr="000C428E">
        <w:rPr>
          <w:iCs/>
          <w:sz w:val="22"/>
          <w:szCs w:val="22"/>
          <w:lang w:val="lv-LV"/>
        </w:rPr>
        <w:t>vai ekvivalents</w:t>
      </w:r>
      <w:r w:rsidRPr="000C428E">
        <w:rPr>
          <w:bCs/>
          <w:sz w:val="22"/>
          <w:szCs w:val="22"/>
          <w:lang w:val="lv-LV"/>
        </w:rPr>
        <w:t>”;</w:t>
      </w:r>
    </w:p>
    <w:p w:rsidR="000C428E" w:rsidRPr="000C428E" w:rsidRDefault="000C428E" w:rsidP="000C428E">
      <w:pPr>
        <w:pStyle w:val="ListParagraph"/>
        <w:widowControl w:val="0"/>
        <w:numPr>
          <w:ilvl w:val="0"/>
          <w:numId w:val="16"/>
        </w:numPr>
        <w:jc w:val="both"/>
        <w:rPr>
          <w:sz w:val="22"/>
          <w:szCs w:val="22"/>
          <w:lang w:val="lv-LV"/>
        </w:rPr>
      </w:pPr>
      <w:r w:rsidRPr="000C428E">
        <w:rPr>
          <w:sz w:val="22"/>
          <w:szCs w:val="22"/>
          <w:lang w:val="lv-LV"/>
        </w:rPr>
        <w:t xml:space="preserve">2.komplekta </w:t>
      </w:r>
      <w:r w:rsidRPr="000C428E">
        <w:rPr>
          <w:iCs/>
          <w:sz w:val="22"/>
          <w:szCs w:val="22"/>
          <w:lang w:val="lv-LV"/>
        </w:rPr>
        <w:t>2.pozīcijas “</w:t>
      </w:r>
      <w:proofErr w:type="spellStart"/>
      <w:r w:rsidRPr="000C428E">
        <w:rPr>
          <w:iCs/>
          <w:sz w:val="22"/>
          <w:szCs w:val="22"/>
          <w:lang w:val="lv-LV"/>
        </w:rPr>
        <w:t>Altera</w:t>
      </w:r>
      <w:proofErr w:type="spellEnd"/>
      <w:r w:rsidRPr="000C428E">
        <w:rPr>
          <w:iCs/>
          <w:sz w:val="22"/>
          <w:szCs w:val="22"/>
          <w:lang w:val="lv-LV"/>
        </w:rPr>
        <w:t xml:space="preserve"> FPGA un CPLD integrālo shēmu izstrādes rīku kopa”</w:t>
      </w:r>
      <w:r w:rsidRPr="000C428E">
        <w:rPr>
          <w:bCs/>
          <w:sz w:val="22"/>
          <w:szCs w:val="22"/>
          <w:lang w:val="lv-LV"/>
        </w:rPr>
        <w:t>;</w:t>
      </w:r>
    </w:p>
    <w:p w:rsidR="000C428E" w:rsidRPr="000C428E" w:rsidRDefault="000C428E" w:rsidP="000C428E">
      <w:pPr>
        <w:pStyle w:val="ListParagraph"/>
        <w:widowControl w:val="0"/>
        <w:numPr>
          <w:ilvl w:val="0"/>
          <w:numId w:val="16"/>
        </w:numPr>
        <w:jc w:val="both"/>
        <w:rPr>
          <w:sz w:val="22"/>
          <w:szCs w:val="22"/>
          <w:lang w:val="lv-LV"/>
        </w:rPr>
      </w:pPr>
      <w:r w:rsidRPr="000C428E">
        <w:rPr>
          <w:sz w:val="22"/>
          <w:szCs w:val="22"/>
          <w:lang w:val="lv-LV"/>
        </w:rPr>
        <w:t>2.komplekta 1</w:t>
      </w:r>
      <w:r w:rsidRPr="000C428E">
        <w:rPr>
          <w:iCs/>
          <w:sz w:val="22"/>
          <w:szCs w:val="22"/>
          <w:lang w:val="lv-LV"/>
        </w:rPr>
        <w:t>.pozīcijas “</w:t>
      </w:r>
      <w:proofErr w:type="spellStart"/>
      <w:r w:rsidRPr="000C428E">
        <w:rPr>
          <w:iCs/>
          <w:sz w:val="22"/>
          <w:szCs w:val="22"/>
          <w:lang w:val="lv-LV"/>
        </w:rPr>
        <w:t>Xilinx</w:t>
      </w:r>
      <w:proofErr w:type="spellEnd"/>
      <w:r w:rsidRPr="000C428E">
        <w:rPr>
          <w:iCs/>
          <w:sz w:val="22"/>
          <w:szCs w:val="22"/>
          <w:lang w:val="lv-LV"/>
        </w:rPr>
        <w:t xml:space="preserve"> FPGA un CPLD integrālo shēmu izstrādes rīku kopa”</w:t>
      </w:r>
      <w:r w:rsidRPr="000C428E">
        <w:rPr>
          <w:bCs/>
          <w:sz w:val="22"/>
          <w:szCs w:val="22"/>
          <w:lang w:val="lv-LV"/>
        </w:rPr>
        <w:t>.</w:t>
      </w:r>
    </w:p>
    <w:p w:rsidR="000C428E" w:rsidRPr="00457E9C" w:rsidRDefault="000C428E" w:rsidP="000C428E">
      <w:pPr>
        <w:rPr>
          <w:sz w:val="22"/>
          <w:szCs w:val="22"/>
          <w:lang w:val="lv-LV"/>
        </w:rPr>
      </w:pPr>
    </w:p>
    <w:p w:rsidR="000C428E" w:rsidRPr="00030CC3" w:rsidRDefault="000C428E" w:rsidP="000C428E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de-DE"/>
        </w:rPr>
      </w:pPr>
      <w:proofErr w:type="spellStart"/>
      <w:r>
        <w:rPr>
          <w:rFonts w:eastAsia="Cambria"/>
          <w:sz w:val="22"/>
          <w:szCs w:val="20"/>
        </w:rPr>
        <w:t>Ar</w:t>
      </w:r>
      <w:proofErr w:type="spellEnd"/>
      <w:r>
        <w:rPr>
          <w:rFonts w:eastAsia="Cambria"/>
          <w:sz w:val="22"/>
          <w:szCs w:val="20"/>
        </w:rPr>
        <w:t xml:space="preserve"> </w:t>
      </w:r>
      <w:proofErr w:type="spellStart"/>
      <w:r>
        <w:rPr>
          <w:rFonts w:eastAsia="Cambria"/>
          <w:sz w:val="22"/>
          <w:szCs w:val="20"/>
        </w:rPr>
        <w:t>šo</w:t>
      </w:r>
      <w:proofErr w:type="spellEnd"/>
      <w:r>
        <w:rPr>
          <w:rFonts w:eastAsia="Cambria"/>
          <w:sz w:val="22"/>
          <w:szCs w:val="20"/>
        </w:rPr>
        <w:t xml:space="preserve"> </w:t>
      </w:r>
      <w:proofErr w:type="spellStart"/>
      <w:r>
        <w:rPr>
          <w:rFonts w:eastAsia="Cambria"/>
          <w:sz w:val="22"/>
          <w:szCs w:val="20"/>
        </w:rPr>
        <w:t>apstiprinām</w:t>
      </w:r>
      <w:proofErr w:type="spellEnd"/>
      <w:r>
        <w:rPr>
          <w:rFonts w:eastAsia="Cambria"/>
          <w:sz w:val="22"/>
          <w:szCs w:val="20"/>
        </w:rPr>
        <w:t xml:space="preserve"> </w:t>
      </w:r>
      <w:proofErr w:type="gramStart"/>
      <w:r>
        <w:rPr>
          <w:rFonts w:eastAsia="Cambria"/>
          <w:sz w:val="22"/>
          <w:szCs w:val="20"/>
        </w:rPr>
        <w:t>un</w:t>
      </w:r>
      <w:proofErr w:type="gramEnd"/>
      <w:r>
        <w:rPr>
          <w:rFonts w:eastAsia="Cambria"/>
          <w:sz w:val="22"/>
          <w:szCs w:val="20"/>
        </w:rPr>
        <w:t xml:space="preserve"> </w:t>
      </w:r>
      <w:proofErr w:type="spellStart"/>
      <w:r>
        <w:rPr>
          <w:rFonts w:eastAsia="Cambria"/>
          <w:sz w:val="22"/>
          <w:szCs w:val="20"/>
        </w:rPr>
        <w:t>garantējam</w:t>
      </w:r>
      <w:proofErr w:type="spellEnd"/>
      <w:r>
        <w:rPr>
          <w:rFonts w:eastAsia="Cambria"/>
          <w:sz w:val="22"/>
          <w:szCs w:val="20"/>
        </w:rPr>
        <w:t xml:space="preserve">, </w:t>
      </w:r>
      <w:proofErr w:type="spellStart"/>
      <w:r>
        <w:rPr>
          <w:rFonts w:eastAsia="Cambria"/>
          <w:sz w:val="22"/>
          <w:szCs w:val="20"/>
        </w:rPr>
        <w:t>ka</w:t>
      </w:r>
      <w:proofErr w:type="spellEnd"/>
      <w:r>
        <w:rPr>
          <w:rFonts w:eastAsia="Cambria"/>
          <w:sz w:val="22"/>
          <w:szCs w:val="20"/>
        </w:rPr>
        <w:t xml:space="preserve"> c</w:t>
      </w:r>
      <w:proofErr w:type="spellStart"/>
      <w:r w:rsidRPr="00030CC3">
        <w:rPr>
          <w:rFonts w:eastAsia="Cambria"/>
          <w:sz w:val="22"/>
          <w:szCs w:val="20"/>
          <w:lang w:val="lv-LV"/>
        </w:rPr>
        <w:t>enā</w:t>
      </w:r>
      <w:proofErr w:type="spellEnd"/>
      <w:r w:rsidRPr="00030CC3">
        <w:rPr>
          <w:rFonts w:eastAsia="Cambria"/>
          <w:sz w:val="22"/>
          <w:szCs w:val="20"/>
          <w:lang w:val="lv-LV"/>
        </w:rPr>
        <w:t xml:space="preserve"> ir iekļautas visas izmaksas, kas saistītas ar iepirkuma līguma izpildīšanu, tajā skaitā visi Latvijas Republikas normatīvajos aktos paredzētie nodokļi un nodevas, izņemot pievienotās vērtības nodokli;</w:t>
      </w:r>
    </w:p>
    <w:p w:rsidR="000C428E" w:rsidRPr="00030CC3" w:rsidRDefault="000C428E" w:rsidP="000C428E">
      <w:pPr>
        <w:widowControl w:val="0"/>
        <w:autoSpaceDE w:val="0"/>
        <w:autoSpaceDN w:val="0"/>
        <w:adjustRightInd w:val="0"/>
        <w:ind w:left="45"/>
        <w:jc w:val="both"/>
        <w:rPr>
          <w:rFonts w:eastAsia="Cambria"/>
          <w:sz w:val="22"/>
          <w:szCs w:val="20"/>
          <w:lang w:val="lv-LV"/>
        </w:rPr>
      </w:pPr>
    </w:p>
    <w:p w:rsidR="000C428E" w:rsidRPr="00030CC3" w:rsidRDefault="000C428E" w:rsidP="000C428E">
      <w:pPr>
        <w:ind w:right="28"/>
        <w:jc w:val="both"/>
        <w:rPr>
          <w:sz w:val="22"/>
          <w:szCs w:val="22"/>
        </w:rPr>
      </w:pPr>
      <w:proofErr w:type="spellStart"/>
      <w:r w:rsidRPr="00030CC3">
        <w:rPr>
          <w:sz w:val="22"/>
          <w:szCs w:val="22"/>
        </w:rPr>
        <w:t>Pretendenta</w:t>
      </w:r>
      <w:proofErr w:type="spellEnd"/>
      <w:r w:rsidRPr="00030CC3">
        <w:rPr>
          <w:sz w:val="22"/>
          <w:szCs w:val="22"/>
        </w:rPr>
        <w:t xml:space="preserve"> </w:t>
      </w:r>
      <w:proofErr w:type="spellStart"/>
      <w:r w:rsidRPr="00030CC3">
        <w:rPr>
          <w:sz w:val="22"/>
          <w:szCs w:val="22"/>
        </w:rPr>
        <w:t>pārstāvja</w:t>
      </w:r>
      <w:proofErr w:type="spellEnd"/>
      <w:r w:rsidRPr="00030CC3">
        <w:rPr>
          <w:sz w:val="22"/>
          <w:szCs w:val="22"/>
        </w:rPr>
        <w:t xml:space="preserve"> </w:t>
      </w:r>
      <w:proofErr w:type="spellStart"/>
      <w:r w:rsidRPr="00030CC3">
        <w:rPr>
          <w:sz w:val="22"/>
          <w:szCs w:val="22"/>
        </w:rPr>
        <w:t>amats</w:t>
      </w:r>
      <w:proofErr w:type="spellEnd"/>
      <w:r w:rsidRPr="00030CC3">
        <w:rPr>
          <w:sz w:val="22"/>
          <w:szCs w:val="22"/>
        </w:rPr>
        <w:t xml:space="preserve">, </w:t>
      </w:r>
      <w:proofErr w:type="spellStart"/>
      <w:r w:rsidRPr="00030CC3">
        <w:rPr>
          <w:sz w:val="22"/>
          <w:szCs w:val="22"/>
        </w:rPr>
        <w:t>vārds</w:t>
      </w:r>
      <w:proofErr w:type="spellEnd"/>
      <w:r w:rsidRPr="00030CC3">
        <w:rPr>
          <w:sz w:val="22"/>
          <w:szCs w:val="22"/>
        </w:rPr>
        <w:t xml:space="preserve">, </w:t>
      </w:r>
      <w:proofErr w:type="spellStart"/>
      <w:r w:rsidRPr="00030CC3">
        <w:rPr>
          <w:sz w:val="22"/>
          <w:szCs w:val="22"/>
        </w:rPr>
        <w:t>uzvārds</w:t>
      </w:r>
      <w:proofErr w:type="spellEnd"/>
      <w:r w:rsidRPr="00030CC3">
        <w:rPr>
          <w:sz w:val="22"/>
          <w:szCs w:val="22"/>
        </w:rPr>
        <w:t>:</w:t>
      </w:r>
      <w:r w:rsidRPr="00030CC3">
        <w:rPr>
          <w:b/>
          <w:sz w:val="22"/>
          <w:szCs w:val="22"/>
        </w:rPr>
        <w:t xml:space="preserve"> </w:t>
      </w:r>
    </w:p>
    <w:p w:rsidR="000C428E" w:rsidRDefault="000C428E" w:rsidP="000C428E">
      <w:pPr>
        <w:ind w:right="28"/>
        <w:jc w:val="both"/>
      </w:pPr>
      <w:proofErr w:type="spellStart"/>
      <w:r w:rsidRPr="00030CC3">
        <w:rPr>
          <w:sz w:val="22"/>
          <w:szCs w:val="22"/>
        </w:rPr>
        <w:t>Paraksts</w:t>
      </w:r>
      <w:proofErr w:type="spellEnd"/>
      <w:r w:rsidRPr="00030CC3">
        <w:rPr>
          <w:sz w:val="22"/>
          <w:szCs w:val="22"/>
        </w:rPr>
        <w:t xml:space="preserve">: </w:t>
      </w:r>
      <w:r w:rsidRPr="00030CC3">
        <w:rPr>
          <w:sz w:val="22"/>
          <w:szCs w:val="22"/>
        </w:rPr>
        <w:tab/>
        <w:t xml:space="preserve">__________________  </w:t>
      </w:r>
      <w:r w:rsidRPr="00030CC3">
        <w:rPr>
          <w:sz w:val="22"/>
          <w:szCs w:val="22"/>
        </w:rPr>
        <w:tab/>
      </w:r>
    </w:p>
    <w:p w:rsidR="00E13DCD" w:rsidRPr="007B5A56" w:rsidRDefault="00E13DCD" w:rsidP="000C428E">
      <w:pPr>
        <w:jc w:val="center"/>
        <w:rPr>
          <w:sz w:val="22"/>
          <w:szCs w:val="22"/>
        </w:rPr>
      </w:pPr>
    </w:p>
    <w:sectPr w:rsidR="00E13DCD" w:rsidRPr="007B5A56" w:rsidSect="00B85AF3">
      <w:headerReference w:type="default" r:id="rId8"/>
      <w:footerReference w:type="default" r:id="rId9"/>
      <w:pgSz w:w="11906" w:h="16838"/>
      <w:pgMar w:top="810" w:right="849" w:bottom="450" w:left="1080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ED" w:rsidRDefault="008C27ED" w:rsidP="001727BA">
      <w:r>
        <w:separator/>
      </w:r>
    </w:p>
  </w:endnote>
  <w:endnote w:type="continuationSeparator" w:id="0">
    <w:p w:rsidR="008C27ED" w:rsidRDefault="008C27ED" w:rsidP="0017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014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2178" w:rsidRDefault="004E1E5A">
        <w:pPr>
          <w:pStyle w:val="Footer"/>
          <w:jc w:val="right"/>
        </w:pPr>
        <w:r>
          <w:fldChar w:fldCharType="begin"/>
        </w:r>
        <w:r w:rsidR="00D52178">
          <w:instrText xml:space="preserve"> PAGE   \* MERGEFORMAT </w:instrText>
        </w:r>
        <w:r>
          <w:fldChar w:fldCharType="separate"/>
        </w:r>
        <w:r w:rsidR="00F13B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2178" w:rsidRDefault="00D52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ED" w:rsidRDefault="008C27ED" w:rsidP="001727BA">
      <w:r>
        <w:separator/>
      </w:r>
    </w:p>
  </w:footnote>
  <w:footnote w:type="continuationSeparator" w:id="0">
    <w:p w:rsidR="008C27ED" w:rsidRDefault="008C27ED" w:rsidP="00172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C8" w:rsidRDefault="008C4CC8" w:rsidP="008C4CC8">
    <w:pPr>
      <w:pStyle w:val="Header"/>
      <w:tabs>
        <w:tab w:val="clear" w:pos="4320"/>
        <w:tab w:val="clear" w:pos="8640"/>
        <w:tab w:val="left" w:pos="26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91D"/>
    <w:multiLevelType w:val="hybridMultilevel"/>
    <w:tmpl w:val="F6DE4462"/>
    <w:lvl w:ilvl="0" w:tplc="046CE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C6171"/>
    <w:multiLevelType w:val="hybridMultilevel"/>
    <w:tmpl w:val="FD30CF36"/>
    <w:lvl w:ilvl="0" w:tplc="0426000F">
      <w:start w:val="1"/>
      <w:numFmt w:val="decimal"/>
      <w:lvlText w:val="%1."/>
      <w:lvlJc w:val="left"/>
      <w:pPr>
        <w:ind w:left="801" w:hanging="360"/>
      </w:pPr>
    </w:lvl>
    <w:lvl w:ilvl="1" w:tplc="04260019" w:tentative="1">
      <w:start w:val="1"/>
      <w:numFmt w:val="lowerLetter"/>
      <w:lvlText w:val="%2."/>
      <w:lvlJc w:val="left"/>
      <w:pPr>
        <w:ind w:left="1521" w:hanging="360"/>
      </w:pPr>
    </w:lvl>
    <w:lvl w:ilvl="2" w:tplc="0426001B" w:tentative="1">
      <w:start w:val="1"/>
      <w:numFmt w:val="lowerRoman"/>
      <w:lvlText w:val="%3."/>
      <w:lvlJc w:val="right"/>
      <w:pPr>
        <w:ind w:left="2241" w:hanging="180"/>
      </w:pPr>
    </w:lvl>
    <w:lvl w:ilvl="3" w:tplc="0426000F" w:tentative="1">
      <w:start w:val="1"/>
      <w:numFmt w:val="decimal"/>
      <w:lvlText w:val="%4."/>
      <w:lvlJc w:val="left"/>
      <w:pPr>
        <w:ind w:left="2961" w:hanging="360"/>
      </w:pPr>
    </w:lvl>
    <w:lvl w:ilvl="4" w:tplc="04260019" w:tentative="1">
      <w:start w:val="1"/>
      <w:numFmt w:val="lowerLetter"/>
      <w:lvlText w:val="%5."/>
      <w:lvlJc w:val="left"/>
      <w:pPr>
        <w:ind w:left="3681" w:hanging="360"/>
      </w:pPr>
    </w:lvl>
    <w:lvl w:ilvl="5" w:tplc="0426001B" w:tentative="1">
      <w:start w:val="1"/>
      <w:numFmt w:val="lowerRoman"/>
      <w:lvlText w:val="%6."/>
      <w:lvlJc w:val="right"/>
      <w:pPr>
        <w:ind w:left="4401" w:hanging="180"/>
      </w:pPr>
    </w:lvl>
    <w:lvl w:ilvl="6" w:tplc="0426000F" w:tentative="1">
      <w:start w:val="1"/>
      <w:numFmt w:val="decimal"/>
      <w:lvlText w:val="%7."/>
      <w:lvlJc w:val="left"/>
      <w:pPr>
        <w:ind w:left="5121" w:hanging="360"/>
      </w:pPr>
    </w:lvl>
    <w:lvl w:ilvl="7" w:tplc="04260019" w:tentative="1">
      <w:start w:val="1"/>
      <w:numFmt w:val="lowerLetter"/>
      <w:lvlText w:val="%8."/>
      <w:lvlJc w:val="left"/>
      <w:pPr>
        <w:ind w:left="5841" w:hanging="360"/>
      </w:pPr>
    </w:lvl>
    <w:lvl w:ilvl="8" w:tplc="0426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" w15:restartNumberingAfterBreak="0">
    <w:nsid w:val="2E68038F"/>
    <w:multiLevelType w:val="hybridMultilevel"/>
    <w:tmpl w:val="75DC0016"/>
    <w:lvl w:ilvl="0" w:tplc="046CE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F556C"/>
    <w:multiLevelType w:val="hybridMultilevel"/>
    <w:tmpl w:val="3CCE1ECA"/>
    <w:lvl w:ilvl="0" w:tplc="19423DAC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3" w:hanging="360"/>
      </w:pPr>
    </w:lvl>
    <w:lvl w:ilvl="2" w:tplc="0426001B" w:tentative="1">
      <w:start w:val="1"/>
      <w:numFmt w:val="lowerRoman"/>
      <w:lvlText w:val="%3."/>
      <w:lvlJc w:val="right"/>
      <w:pPr>
        <w:ind w:left="1793" w:hanging="180"/>
      </w:pPr>
    </w:lvl>
    <w:lvl w:ilvl="3" w:tplc="0426000F" w:tentative="1">
      <w:start w:val="1"/>
      <w:numFmt w:val="decimal"/>
      <w:lvlText w:val="%4."/>
      <w:lvlJc w:val="left"/>
      <w:pPr>
        <w:ind w:left="2513" w:hanging="360"/>
      </w:pPr>
    </w:lvl>
    <w:lvl w:ilvl="4" w:tplc="04260019" w:tentative="1">
      <w:start w:val="1"/>
      <w:numFmt w:val="lowerLetter"/>
      <w:lvlText w:val="%5."/>
      <w:lvlJc w:val="left"/>
      <w:pPr>
        <w:ind w:left="3233" w:hanging="360"/>
      </w:pPr>
    </w:lvl>
    <w:lvl w:ilvl="5" w:tplc="0426001B" w:tentative="1">
      <w:start w:val="1"/>
      <w:numFmt w:val="lowerRoman"/>
      <w:lvlText w:val="%6."/>
      <w:lvlJc w:val="right"/>
      <w:pPr>
        <w:ind w:left="3953" w:hanging="180"/>
      </w:pPr>
    </w:lvl>
    <w:lvl w:ilvl="6" w:tplc="0426000F" w:tentative="1">
      <w:start w:val="1"/>
      <w:numFmt w:val="decimal"/>
      <w:lvlText w:val="%7."/>
      <w:lvlJc w:val="left"/>
      <w:pPr>
        <w:ind w:left="4673" w:hanging="360"/>
      </w:pPr>
    </w:lvl>
    <w:lvl w:ilvl="7" w:tplc="04260019" w:tentative="1">
      <w:start w:val="1"/>
      <w:numFmt w:val="lowerLetter"/>
      <w:lvlText w:val="%8."/>
      <w:lvlJc w:val="left"/>
      <w:pPr>
        <w:ind w:left="5393" w:hanging="360"/>
      </w:pPr>
    </w:lvl>
    <w:lvl w:ilvl="8" w:tplc="0426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4" w15:restartNumberingAfterBreak="0">
    <w:nsid w:val="3703324E"/>
    <w:multiLevelType w:val="hybridMultilevel"/>
    <w:tmpl w:val="5E240C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C2706"/>
    <w:multiLevelType w:val="multilevel"/>
    <w:tmpl w:val="AE660862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611" w:hanging="540"/>
      </w:pPr>
      <w:rPr>
        <w:b w:val="0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6" w15:restartNumberingAfterBreak="0">
    <w:nsid w:val="42700905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5482F"/>
    <w:multiLevelType w:val="hybridMultilevel"/>
    <w:tmpl w:val="F878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81EA9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9" w15:restartNumberingAfterBreak="0">
    <w:nsid w:val="6E90490F"/>
    <w:multiLevelType w:val="hybridMultilevel"/>
    <w:tmpl w:val="18B418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74CDF"/>
    <w:multiLevelType w:val="hybridMultilevel"/>
    <w:tmpl w:val="97669E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11D93"/>
    <w:multiLevelType w:val="hybridMultilevel"/>
    <w:tmpl w:val="97865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92402"/>
    <w:multiLevelType w:val="hybridMultilevel"/>
    <w:tmpl w:val="268AECA4"/>
    <w:lvl w:ilvl="0" w:tplc="AF864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CCA"/>
    <w:multiLevelType w:val="multilevel"/>
    <w:tmpl w:val="E2243794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6"/>
        <w:u w:val="none"/>
      </w:rPr>
    </w:lvl>
    <w:lvl w:ilvl="1">
      <w:start w:val="1"/>
      <w:numFmt w:val="decimal"/>
      <w:lvlRestart w:val="0"/>
      <w:pStyle w:val="A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Restart w:val="0"/>
      <w:pStyle w:val="A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Restart w:val="0"/>
      <w:pStyle w:val="A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3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4"/>
  </w:num>
  <w:num w:numId="14">
    <w:abstractNumId w:val="3"/>
  </w:num>
  <w:num w:numId="15">
    <w:abstractNumId w:val="1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6B"/>
    <w:rsid w:val="000052B0"/>
    <w:rsid w:val="000165BC"/>
    <w:rsid w:val="00034C9F"/>
    <w:rsid w:val="00046D26"/>
    <w:rsid w:val="00053FA9"/>
    <w:rsid w:val="000647C4"/>
    <w:rsid w:val="00066CA0"/>
    <w:rsid w:val="000A63DF"/>
    <w:rsid w:val="000C428E"/>
    <w:rsid w:val="000D4EC6"/>
    <w:rsid w:val="000E04BA"/>
    <w:rsid w:val="000E083E"/>
    <w:rsid w:val="000F5523"/>
    <w:rsid w:val="00113ADD"/>
    <w:rsid w:val="0011788A"/>
    <w:rsid w:val="0012772A"/>
    <w:rsid w:val="00132DD1"/>
    <w:rsid w:val="001359BC"/>
    <w:rsid w:val="001727BA"/>
    <w:rsid w:val="00177EFC"/>
    <w:rsid w:val="001852D0"/>
    <w:rsid w:val="001858F2"/>
    <w:rsid w:val="00193134"/>
    <w:rsid w:val="001D7CCF"/>
    <w:rsid w:val="0020504E"/>
    <w:rsid w:val="00240A55"/>
    <w:rsid w:val="0024472E"/>
    <w:rsid w:val="0024496F"/>
    <w:rsid w:val="00272DBA"/>
    <w:rsid w:val="00294887"/>
    <w:rsid w:val="002A72CB"/>
    <w:rsid w:val="003122F9"/>
    <w:rsid w:val="003237F2"/>
    <w:rsid w:val="003679E9"/>
    <w:rsid w:val="003903D8"/>
    <w:rsid w:val="003A326D"/>
    <w:rsid w:val="003A47BE"/>
    <w:rsid w:val="003A5399"/>
    <w:rsid w:val="003A5B31"/>
    <w:rsid w:val="003B15D0"/>
    <w:rsid w:val="003C001D"/>
    <w:rsid w:val="003C1DEA"/>
    <w:rsid w:val="003C1F1E"/>
    <w:rsid w:val="003C6E86"/>
    <w:rsid w:val="003D0B41"/>
    <w:rsid w:val="003F47C5"/>
    <w:rsid w:val="0043209A"/>
    <w:rsid w:val="004572D6"/>
    <w:rsid w:val="004619B7"/>
    <w:rsid w:val="0046236F"/>
    <w:rsid w:val="004B4EAF"/>
    <w:rsid w:val="004E0531"/>
    <w:rsid w:val="004E1E5A"/>
    <w:rsid w:val="004E66DD"/>
    <w:rsid w:val="00533AD9"/>
    <w:rsid w:val="00555796"/>
    <w:rsid w:val="0055761D"/>
    <w:rsid w:val="0056466F"/>
    <w:rsid w:val="00571580"/>
    <w:rsid w:val="0057528F"/>
    <w:rsid w:val="005B4EF7"/>
    <w:rsid w:val="005C5F54"/>
    <w:rsid w:val="005E5E2E"/>
    <w:rsid w:val="00630664"/>
    <w:rsid w:val="00634AA4"/>
    <w:rsid w:val="00635FD0"/>
    <w:rsid w:val="00643348"/>
    <w:rsid w:val="00673D32"/>
    <w:rsid w:val="00684535"/>
    <w:rsid w:val="006910C2"/>
    <w:rsid w:val="00693E28"/>
    <w:rsid w:val="00697005"/>
    <w:rsid w:val="006C3BE1"/>
    <w:rsid w:val="006C6C7C"/>
    <w:rsid w:val="006D63A2"/>
    <w:rsid w:val="006E4759"/>
    <w:rsid w:val="006F098E"/>
    <w:rsid w:val="007056FA"/>
    <w:rsid w:val="007372F6"/>
    <w:rsid w:val="00776B39"/>
    <w:rsid w:val="00776D4F"/>
    <w:rsid w:val="00782D92"/>
    <w:rsid w:val="007B5A56"/>
    <w:rsid w:val="007C16BB"/>
    <w:rsid w:val="007C1CF9"/>
    <w:rsid w:val="007C4DFE"/>
    <w:rsid w:val="007C6C35"/>
    <w:rsid w:val="00800B23"/>
    <w:rsid w:val="0081295D"/>
    <w:rsid w:val="00831AC7"/>
    <w:rsid w:val="008573B2"/>
    <w:rsid w:val="00861F56"/>
    <w:rsid w:val="00864833"/>
    <w:rsid w:val="008723F6"/>
    <w:rsid w:val="00892DED"/>
    <w:rsid w:val="008C27ED"/>
    <w:rsid w:val="008C4CC8"/>
    <w:rsid w:val="008E6A6B"/>
    <w:rsid w:val="008E783F"/>
    <w:rsid w:val="00904D68"/>
    <w:rsid w:val="009311F7"/>
    <w:rsid w:val="00944EDB"/>
    <w:rsid w:val="00954938"/>
    <w:rsid w:val="009702AE"/>
    <w:rsid w:val="00991AE2"/>
    <w:rsid w:val="0099674E"/>
    <w:rsid w:val="009A74A2"/>
    <w:rsid w:val="009C025D"/>
    <w:rsid w:val="009D60B2"/>
    <w:rsid w:val="00A028FB"/>
    <w:rsid w:val="00A05915"/>
    <w:rsid w:val="00A261A7"/>
    <w:rsid w:val="00A43EF3"/>
    <w:rsid w:val="00A65767"/>
    <w:rsid w:val="00AA25E8"/>
    <w:rsid w:val="00AA32D9"/>
    <w:rsid w:val="00AA6061"/>
    <w:rsid w:val="00AA71B3"/>
    <w:rsid w:val="00AB50C9"/>
    <w:rsid w:val="00AD12A8"/>
    <w:rsid w:val="00AD1DBC"/>
    <w:rsid w:val="00AD6F3F"/>
    <w:rsid w:val="00AF1F12"/>
    <w:rsid w:val="00B02F40"/>
    <w:rsid w:val="00B06E71"/>
    <w:rsid w:val="00B07BF0"/>
    <w:rsid w:val="00B14963"/>
    <w:rsid w:val="00B31847"/>
    <w:rsid w:val="00B32503"/>
    <w:rsid w:val="00B36EFD"/>
    <w:rsid w:val="00B41166"/>
    <w:rsid w:val="00B66762"/>
    <w:rsid w:val="00B84C1B"/>
    <w:rsid w:val="00B85AF3"/>
    <w:rsid w:val="00BD0E4A"/>
    <w:rsid w:val="00BE204A"/>
    <w:rsid w:val="00BE34A9"/>
    <w:rsid w:val="00BF61C2"/>
    <w:rsid w:val="00C40A00"/>
    <w:rsid w:val="00C74930"/>
    <w:rsid w:val="00CC7B2E"/>
    <w:rsid w:val="00CD0470"/>
    <w:rsid w:val="00CD147E"/>
    <w:rsid w:val="00CD1A15"/>
    <w:rsid w:val="00D5191F"/>
    <w:rsid w:val="00D52178"/>
    <w:rsid w:val="00D55EDA"/>
    <w:rsid w:val="00D946CA"/>
    <w:rsid w:val="00D9797E"/>
    <w:rsid w:val="00DA1FF4"/>
    <w:rsid w:val="00DB139F"/>
    <w:rsid w:val="00DB4FDF"/>
    <w:rsid w:val="00E04037"/>
    <w:rsid w:val="00E124F2"/>
    <w:rsid w:val="00E13DCD"/>
    <w:rsid w:val="00E53B50"/>
    <w:rsid w:val="00E619AA"/>
    <w:rsid w:val="00EC5476"/>
    <w:rsid w:val="00EE2075"/>
    <w:rsid w:val="00F12132"/>
    <w:rsid w:val="00F127E2"/>
    <w:rsid w:val="00F13B42"/>
    <w:rsid w:val="00F2579A"/>
    <w:rsid w:val="00F72C15"/>
    <w:rsid w:val="00F731DE"/>
    <w:rsid w:val="00FA244E"/>
    <w:rsid w:val="00FD6BFA"/>
    <w:rsid w:val="00FE3CED"/>
    <w:rsid w:val="00FE4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F7D9079-313E-4947-A197-E577078F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E6A6B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8E6A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E6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6A6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6B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E6A6B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3D0B41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AA32D9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</w:r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AA32D9"/>
    <w:rPr>
      <w:rFonts w:ascii="Cambria" w:eastAsia="Cambria" w:hAnsi="Cambria" w:cs="Times New Roman"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2D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Index1">
    <w:name w:val="index 1"/>
    <w:basedOn w:val="Normal"/>
    <w:autoRedefine/>
    <w:uiPriority w:val="99"/>
    <w:unhideWhenUsed/>
    <w:rsid w:val="006C3BE1"/>
    <w:pPr>
      <w:ind w:left="240" w:hanging="240"/>
    </w:pPr>
    <w:rPr>
      <w:rFonts w:eastAsiaTheme="minorHAnsi"/>
      <w:lang w:val="lv-LV" w:eastAsia="lv-LV"/>
    </w:rPr>
  </w:style>
  <w:style w:type="character" w:customStyle="1" w:styleId="MediumGrid2Char">
    <w:name w:val="Medium Grid 2 Char"/>
    <w:basedOn w:val="DefaultParagraphFont"/>
    <w:link w:val="MediumGrid21"/>
    <w:uiPriority w:val="1"/>
    <w:locked/>
    <w:rsid w:val="006C3BE1"/>
  </w:style>
  <w:style w:type="paragraph" w:customStyle="1" w:styleId="MediumGrid21">
    <w:name w:val="Medium Grid 21"/>
    <w:basedOn w:val="Normal"/>
    <w:link w:val="MediumGrid2Char"/>
    <w:uiPriority w:val="1"/>
    <w:rsid w:val="006C3BE1"/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1727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7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27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7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E42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422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ighlight">
    <w:name w:val="highlight"/>
    <w:basedOn w:val="DefaultParagraphFont"/>
    <w:rsid w:val="009D60B2"/>
  </w:style>
  <w:style w:type="paragraph" w:customStyle="1" w:styleId="A1">
    <w:name w:val="A1"/>
    <w:basedOn w:val="Normal"/>
    <w:rsid w:val="000E04BA"/>
    <w:pPr>
      <w:keepNext/>
      <w:keepLines/>
      <w:numPr>
        <w:numId w:val="7"/>
      </w:numPr>
      <w:jc w:val="both"/>
    </w:pPr>
    <w:rPr>
      <w:b/>
      <w:sz w:val="26"/>
      <w:lang w:val="lv-LV"/>
    </w:rPr>
  </w:style>
  <w:style w:type="paragraph" w:customStyle="1" w:styleId="A2">
    <w:name w:val="A2"/>
    <w:basedOn w:val="Normal"/>
    <w:rsid w:val="000E04BA"/>
    <w:pPr>
      <w:keepNext/>
      <w:keepLines/>
      <w:numPr>
        <w:ilvl w:val="1"/>
        <w:numId w:val="7"/>
      </w:numPr>
      <w:jc w:val="both"/>
    </w:pPr>
    <w:rPr>
      <w:sz w:val="26"/>
      <w:lang w:val="lv-LV"/>
    </w:rPr>
  </w:style>
  <w:style w:type="paragraph" w:customStyle="1" w:styleId="A3">
    <w:name w:val="A3"/>
    <w:basedOn w:val="Normal"/>
    <w:rsid w:val="000E04BA"/>
    <w:pPr>
      <w:keepNext/>
      <w:keepLines/>
      <w:numPr>
        <w:ilvl w:val="2"/>
        <w:numId w:val="7"/>
      </w:numPr>
      <w:jc w:val="both"/>
    </w:pPr>
    <w:rPr>
      <w:sz w:val="26"/>
      <w:lang w:val="lv-LV"/>
    </w:rPr>
  </w:style>
  <w:style w:type="paragraph" w:customStyle="1" w:styleId="A4">
    <w:name w:val="A4"/>
    <w:basedOn w:val="Normal"/>
    <w:rsid w:val="000E04BA"/>
    <w:pPr>
      <w:keepNext/>
      <w:keepLines/>
      <w:numPr>
        <w:ilvl w:val="3"/>
        <w:numId w:val="7"/>
      </w:numPr>
      <w:jc w:val="both"/>
    </w:pPr>
    <w:rPr>
      <w:sz w:val="26"/>
      <w:lang w:val="lv-LV"/>
    </w:rPr>
  </w:style>
  <w:style w:type="table" w:styleId="TableGrid">
    <w:name w:val="Table Grid"/>
    <w:basedOn w:val="TableNormal"/>
    <w:uiPriority w:val="59"/>
    <w:rsid w:val="007B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7BC06-1B3D-4185-9C5E-7176489D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2025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RR00246</dc:creator>
  <cp:keywords/>
  <dc:description/>
  <cp:lastModifiedBy>Artis Celitāns</cp:lastModifiedBy>
  <cp:revision>3</cp:revision>
  <cp:lastPrinted>2015-07-09T10:35:00Z</cp:lastPrinted>
  <dcterms:created xsi:type="dcterms:W3CDTF">2015-07-20T12:39:00Z</dcterms:created>
  <dcterms:modified xsi:type="dcterms:W3CDTF">2015-07-21T07:49:00Z</dcterms:modified>
</cp:coreProperties>
</file>