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C5" w:rsidRPr="007036C5" w:rsidRDefault="007036C5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7036C5">
        <w:rPr>
          <w:rFonts w:ascii="Times New Roman" w:hAnsi="Times New Roman"/>
          <w:sz w:val="22"/>
          <w:szCs w:val="22"/>
          <w:lang w:val="lv-LV"/>
        </w:rPr>
        <w:t>Iepirkuma</w:t>
      </w:r>
    </w:p>
    <w:p w:rsidR="007036C5" w:rsidRPr="007036C5" w:rsidRDefault="007036C5" w:rsidP="007036C5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7036C5">
        <w:rPr>
          <w:rFonts w:ascii="Times New Roman" w:hAnsi="Times New Roman"/>
          <w:b/>
          <w:sz w:val="22"/>
          <w:szCs w:val="22"/>
          <w:lang w:val="lv-LV"/>
        </w:rPr>
        <w:t>“Ķīmisko reaģentu un gāzes iegāde”</w:t>
      </w:r>
    </w:p>
    <w:p w:rsidR="007036C5" w:rsidRDefault="007036C5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7036C5">
        <w:rPr>
          <w:rFonts w:ascii="Times New Roman" w:hAnsi="Times New Roman"/>
          <w:sz w:val="22"/>
          <w:szCs w:val="22"/>
          <w:lang w:val="lv-LV"/>
        </w:rPr>
        <w:t>ID: RTU – 2015/13</w:t>
      </w:r>
    </w:p>
    <w:p w:rsidR="00560FB6" w:rsidRPr="00064B7A" w:rsidRDefault="00064B7A" w:rsidP="007036C5">
      <w:pPr>
        <w:jc w:val="center"/>
        <w:rPr>
          <w:rFonts w:ascii="Times New Roman" w:hAnsi="Times New Roman"/>
          <w:b/>
        </w:rPr>
      </w:pPr>
      <w:r w:rsidRPr="00064B7A">
        <w:rPr>
          <w:rFonts w:ascii="Times New Roman" w:hAnsi="Times New Roman"/>
          <w:b/>
        </w:rPr>
        <w:t>LĒMUMS</w:t>
      </w:r>
    </w:p>
    <w:p w:rsidR="00064B7A" w:rsidRPr="00EA347A" w:rsidRDefault="00EA347A" w:rsidP="00EA347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A347A">
        <w:rPr>
          <w:rFonts w:ascii="Times New Roman" w:hAnsi="Times New Roman"/>
          <w:b/>
          <w:bCs/>
          <w:sz w:val="22"/>
          <w:szCs w:val="22"/>
        </w:rPr>
        <w:t xml:space="preserve">Par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iepirkuma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1.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,3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.,5.</w:t>
      </w:r>
      <w:r w:rsidRPr="00EA347A">
        <w:rPr>
          <w:rFonts w:ascii="Times New Roman" w:hAnsi="Times New Roman"/>
          <w:b/>
          <w:bCs/>
          <w:sz w:val="22"/>
          <w:szCs w:val="22"/>
        </w:rPr>
        <w:t xml:space="preserve"> un 6. </w:t>
      </w:r>
      <w:proofErr w:type="spellStart"/>
      <w:proofErr w:type="gramStart"/>
      <w:r w:rsidRPr="00EA347A">
        <w:rPr>
          <w:rFonts w:ascii="Times New Roman" w:hAnsi="Times New Roman"/>
          <w:b/>
          <w:bCs/>
          <w:sz w:val="22"/>
          <w:szCs w:val="22"/>
        </w:rPr>
        <w:t>daļu</w:t>
      </w:r>
      <w:proofErr w:type="spellEnd"/>
      <w:proofErr w:type="gramEnd"/>
    </w:p>
    <w:p w:rsidR="00064B7A" w:rsidRDefault="00064B7A" w:rsidP="00064B7A">
      <w:pPr>
        <w:rPr>
          <w:bCs/>
          <w:sz w:val="22"/>
          <w:szCs w:val="22"/>
        </w:rPr>
      </w:pPr>
    </w:p>
    <w:p w:rsidR="00064B7A" w:rsidRPr="00064B7A" w:rsidRDefault="00064B7A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Rīgā</w:t>
      </w:r>
      <w:proofErr w:type="spellEnd"/>
      <w:r>
        <w:rPr>
          <w:rFonts w:ascii="Times New Roman" w:hAnsi="Times New Roman"/>
          <w:bCs/>
          <w:sz w:val="22"/>
          <w:szCs w:val="22"/>
        </w:rPr>
        <w:t>, 2015</w:t>
      </w:r>
      <w:r w:rsidRPr="00064B7A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Pr="00064B7A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Pr="00064B7A">
        <w:rPr>
          <w:rFonts w:ascii="Times New Roman" w:hAnsi="Times New Roman"/>
          <w:bCs/>
          <w:sz w:val="22"/>
          <w:szCs w:val="22"/>
        </w:rPr>
        <w:t xml:space="preserve"> </w:t>
      </w:r>
      <w:r w:rsidR="00926CA5">
        <w:rPr>
          <w:rFonts w:ascii="Times New Roman" w:hAnsi="Times New Roman"/>
          <w:bCs/>
          <w:sz w:val="22"/>
          <w:szCs w:val="22"/>
        </w:rPr>
        <w:t>20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2"/>
          <w:szCs w:val="22"/>
        </w:rPr>
        <w:t>februārī</w:t>
      </w:r>
      <w:proofErr w:type="spellEnd"/>
      <w:proofErr w:type="gramEnd"/>
    </w:p>
    <w:p w:rsidR="00064B7A" w:rsidRDefault="00064B7A"/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064B7A" w:rsidRPr="00615E15" w:rsidRDefault="007036C5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Pr="007036C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laboratorijas materiālu, ķimikāliju un gāzes iegāde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Rīgas Tehniskās universitātes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vajadzībām 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Tehnisko specifikāciju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 w:rsidR="007036C5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2015/13</w:t>
      </w:r>
      <w:r w:rsidRPr="00615E15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615E15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7036C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02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.02.2015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7036C5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</w:t>
      </w:r>
      <w:r w:rsidR="00064B7A"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komisija izveidota: 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Rīgas Tehniskās universitātes kanclera </w:t>
      </w:r>
      <w:r w:rsidRPr="007036C5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2015. </w:t>
      </w:r>
      <w:proofErr w:type="spellStart"/>
      <w:proofErr w:type="gramStart"/>
      <w:r w:rsidRPr="007036C5">
        <w:rPr>
          <w:rFonts w:ascii="Times New Roman" w:eastAsia="Times New Roman" w:hAnsi="Times New Roman"/>
          <w:bCs/>
          <w:sz w:val="22"/>
          <w:szCs w:val="22"/>
          <w:lang w:eastAsia="lv-LV"/>
        </w:rPr>
        <w:t>gada</w:t>
      </w:r>
      <w:proofErr w:type="spellEnd"/>
      <w:proofErr w:type="gramEnd"/>
      <w:r w:rsidRPr="007036C5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29. </w:t>
      </w:r>
      <w:proofErr w:type="spellStart"/>
      <w:proofErr w:type="gramStart"/>
      <w:r w:rsidRPr="007036C5">
        <w:rPr>
          <w:rFonts w:ascii="Times New Roman" w:eastAsia="Times New Roman" w:hAnsi="Times New Roman"/>
          <w:bCs/>
          <w:sz w:val="22"/>
          <w:szCs w:val="22"/>
          <w:lang w:eastAsia="lv-LV"/>
        </w:rPr>
        <w:t>janvāra</w:t>
      </w:r>
      <w:proofErr w:type="spellEnd"/>
      <w:proofErr w:type="gramEnd"/>
      <w:r w:rsidRPr="007036C5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Pr="007036C5">
        <w:rPr>
          <w:rFonts w:ascii="Times New Roman" w:eastAsia="Times New Roman" w:hAnsi="Times New Roman"/>
          <w:bCs/>
          <w:sz w:val="22"/>
          <w:szCs w:val="22"/>
          <w:lang w:eastAsia="lv-LV"/>
        </w:rPr>
        <w:t>rīkojumu</w:t>
      </w:r>
      <w:proofErr w:type="spellEnd"/>
      <w:r w:rsidRPr="007036C5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Nr. 03000-1.2/14</w:t>
      </w:r>
      <w:r w:rsidR="00064B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clear" w:pos="720"/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CPV nomenklatūras kods: </w:t>
      </w:r>
      <w:r w:rsidR="007036C5" w:rsidRPr="007036C5">
        <w:rPr>
          <w:rFonts w:ascii="Times New Roman" w:eastAsia="Times New Roman" w:hAnsi="Times New Roman"/>
          <w:sz w:val="22"/>
          <w:szCs w:val="22"/>
          <w:lang w:val="lv-LV" w:eastAsia="lv-LV"/>
        </w:rPr>
        <w:t>24000000-4 (Ķīmiskie produkti)</w:t>
      </w:r>
      <w:r w:rsidR="007036C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, </w:t>
      </w:r>
      <w:r w:rsidR="00561C8F" w:rsidRPr="00561C8F">
        <w:rPr>
          <w:rFonts w:ascii="Times New Roman" w:eastAsia="Times New Roman" w:hAnsi="Times New Roman"/>
          <w:sz w:val="22"/>
          <w:szCs w:val="22"/>
          <w:lang w:val="lv-LV" w:eastAsia="lv-LV"/>
        </w:rPr>
        <w:t>24100000-5 (Gāzes)</w:t>
      </w:r>
      <w:r w:rsidR="00561C8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, </w:t>
      </w:r>
      <w:r w:rsidR="00561C8F" w:rsidRPr="00561C8F">
        <w:rPr>
          <w:rFonts w:ascii="Times New Roman" w:eastAsia="Times New Roman" w:hAnsi="Times New Roman"/>
          <w:sz w:val="22"/>
          <w:szCs w:val="22"/>
          <w:lang w:val="lv-LV" w:eastAsia="lv-LV"/>
        </w:rPr>
        <w:t>33696500-0 (Laboratorijas reaģenti)</w:t>
      </w:r>
      <w:r w:rsidRPr="00615E15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226"/>
        <w:gridCol w:w="1134"/>
        <w:gridCol w:w="1276"/>
        <w:gridCol w:w="1276"/>
        <w:gridCol w:w="1276"/>
      </w:tblGrid>
      <w:tr w:rsidR="00561C8F" w:rsidRPr="00615E15" w:rsidTr="00561C8F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561C8F" w:rsidRPr="00615E15" w:rsidTr="00561C8F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8F" w:rsidRPr="000B53B4" w:rsidRDefault="00561C8F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8F" w:rsidRPr="000B53B4" w:rsidRDefault="00561C8F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Nr.6</w:t>
            </w:r>
          </w:p>
        </w:tc>
      </w:tr>
      <w:tr w:rsidR="00561C8F" w:rsidRPr="00615E15" w:rsidTr="00561C8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8F" w:rsidRPr="000B53B4" w:rsidRDefault="00E61EEA" w:rsidP="00E61EEA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</w:p>
        </w:tc>
        <w:tc>
          <w:tcPr>
            <w:tcW w:w="1134" w:type="dxa"/>
            <w:hideMark/>
          </w:tcPr>
          <w:p w:rsidR="00561C8F" w:rsidRPr="00444190" w:rsidRDefault="00561C8F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C5404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561C8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C5404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561C8F" w:rsidRPr="00615E15" w:rsidTr="00561C8F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8F" w:rsidRPr="000B53B4" w:rsidRDefault="00561C8F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AGA SIA</w:t>
            </w:r>
          </w:p>
        </w:tc>
        <w:tc>
          <w:tcPr>
            <w:tcW w:w="1134" w:type="dxa"/>
          </w:tcPr>
          <w:p w:rsidR="00561C8F" w:rsidRPr="00444190" w:rsidRDefault="00C54048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9E0D0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9E0D0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C5404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C5404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561C8F" w:rsidRPr="00615E15" w:rsidTr="00561C8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8F" w:rsidRPr="000B53B4" w:rsidRDefault="00561C8F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ELME MESSER</w:t>
            </w:r>
          </w:p>
        </w:tc>
        <w:tc>
          <w:tcPr>
            <w:tcW w:w="1134" w:type="dxa"/>
          </w:tcPr>
          <w:p w:rsidR="00561C8F" w:rsidRPr="00444190" w:rsidRDefault="00C54048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0A1E5C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A1E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508,60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C5404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C5404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561C8F" w:rsidRPr="00615E15" w:rsidTr="00561C8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8F" w:rsidRPr="000B53B4" w:rsidRDefault="00561C8F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“WOIKOSKI”</w:t>
            </w:r>
          </w:p>
        </w:tc>
        <w:tc>
          <w:tcPr>
            <w:tcW w:w="1134" w:type="dxa"/>
          </w:tcPr>
          <w:p w:rsidR="00561C8F" w:rsidRPr="00444190" w:rsidRDefault="00C54048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0A1E5C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A1E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621,80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C5404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F" w:rsidRPr="000B53B4" w:rsidRDefault="00C5404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</w:tbl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Piedāvājumu atbilstība</w:t>
      </w:r>
      <w:r w:rsid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nolikumā noteiktajām prasībām</w:t>
      </w: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105"/>
        <w:gridCol w:w="1134"/>
        <w:gridCol w:w="1276"/>
        <w:gridCol w:w="1276"/>
        <w:gridCol w:w="1276"/>
      </w:tblGrid>
      <w:tr w:rsidR="000A1E5C" w:rsidRPr="00615E15" w:rsidTr="007A3E8C">
        <w:trPr>
          <w:trHeight w:val="27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5C" w:rsidRPr="000B53B4" w:rsidRDefault="000A1E5C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5C" w:rsidRPr="000B53B4" w:rsidRDefault="000A1E5C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  <w:t>Pretendenta nosaukums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C" w:rsidRPr="000B53B4" w:rsidRDefault="000A1E5C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  <w:t>Atbilst/neatbilst</w:t>
            </w:r>
          </w:p>
        </w:tc>
      </w:tr>
      <w:tr w:rsidR="000A1E5C" w:rsidRPr="00615E15" w:rsidTr="000A1E5C">
        <w:trPr>
          <w:trHeight w:val="244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C" w:rsidRPr="000B53B4" w:rsidRDefault="000A1E5C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C" w:rsidRPr="000B53B4" w:rsidRDefault="000A1E5C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C" w:rsidRPr="000B53B4" w:rsidRDefault="000A1E5C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C" w:rsidRPr="000B53B4" w:rsidRDefault="000A1E5C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0A1E5C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0A1E5C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Nr.6</w:t>
            </w:r>
          </w:p>
        </w:tc>
      </w:tr>
      <w:tr w:rsidR="000A1E5C" w:rsidRPr="00615E15" w:rsidTr="000A1E5C">
        <w:trPr>
          <w:trHeight w:val="3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5C" w:rsidRPr="000B53B4" w:rsidRDefault="000A1E5C" w:rsidP="000A1E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C" w:rsidRPr="000B53B4" w:rsidRDefault="00E61EEA" w:rsidP="00E61EEA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0A1E5C" w:rsidP="000A1E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C54048" w:rsidP="000A1E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DB7848" w:rsidP="000A1E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C54048" w:rsidP="000A1E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0A1E5C" w:rsidRPr="00615E15" w:rsidTr="000A1E5C">
        <w:trPr>
          <w:trHeight w:val="1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5C" w:rsidRPr="000B53B4" w:rsidRDefault="000A1E5C" w:rsidP="000A1E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C" w:rsidRPr="000B53B4" w:rsidRDefault="000A1E5C" w:rsidP="000A1E5C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AGA 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C54048" w:rsidP="000A1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0A1E5C" w:rsidP="000A1E5C">
            <w:pPr>
              <w:jc w:val="center"/>
              <w:rPr>
                <w:sz w:val="18"/>
                <w:szCs w:val="18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C54048" w:rsidP="000A1E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C54048" w:rsidP="000A1E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0A1E5C" w:rsidRPr="00615E15" w:rsidTr="000A1E5C">
        <w:trPr>
          <w:trHeight w:val="1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5C" w:rsidRPr="000B53B4" w:rsidRDefault="000A1E5C" w:rsidP="000A1E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C" w:rsidRPr="000B53B4" w:rsidRDefault="000A1E5C" w:rsidP="000A1E5C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ELME MESSER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C54048" w:rsidP="000A1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0A1E5C" w:rsidP="000A1E5C">
            <w:pPr>
              <w:jc w:val="center"/>
              <w:rPr>
                <w:sz w:val="18"/>
                <w:szCs w:val="18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C54048" w:rsidP="000A1E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C54048" w:rsidP="000A1E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0A1E5C" w:rsidRPr="00615E15" w:rsidTr="000A1E5C">
        <w:trPr>
          <w:trHeight w:val="1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5C" w:rsidRPr="000B53B4" w:rsidRDefault="000A1E5C" w:rsidP="000A1E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C" w:rsidRPr="000B53B4" w:rsidRDefault="000A1E5C" w:rsidP="000A1E5C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“WOIKOSKI”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C54048" w:rsidP="000A1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0A1E5C" w:rsidP="000A1E5C">
            <w:pPr>
              <w:jc w:val="center"/>
              <w:rPr>
                <w:sz w:val="18"/>
                <w:szCs w:val="18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neatbilst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C54048" w:rsidP="000A1E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C" w:rsidRPr="000B53B4" w:rsidRDefault="00C54048" w:rsidP="000A1E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</w:tbl>
    <w:p w:rsidR="00064B7A" w:rsidRPr="00CC5807" w:rsidRDefault="00C54048" w:rsidP="007D3B46">
      <w:pPr>
        <w:spacing w:line="276" w:lineRule="auto"/>
        <w:ind w:left="142" w:right="-625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8.1</w:t>
      </w:r>
      <w:r w:rsidR="00E61EE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. </w:t>
      </w:r>
      <w:r w:rsidR="00064B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Pretendenta – </w:t>
      </w:r>
      <w:r w:rsidR="00DB7848" w:rsidRPr="00DB78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SIA “WOIKOSKI” </w:t>
      </w:r>
      <w:r w:rsidR="008102E7" w:rsidRPr="008102E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tehniskais piedāvājums</w:t>
      </w:r>
      <w:r w:rsidR="002A461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iepirkuma 3.daļā </w:t>
      </w:r>
      <w:r w:rsidR="008102E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ir noraidīts pamatojoties uz </w:t>
      </w:r>
      <w:r w:rsidR="002A461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iepirkuma nolikuma 6.5.1. punktā</w:t>
      </w:r>
      <w:r w:rsidR="008102E7" w:rsidRPr="008102E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noteiktajām prasībām</w:t>
      </w:r>
      <w:r w:rsidR="002A461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jo pretendenta tehniskā </w:t>
      </w:r>
      <w:r w:rsidR="002A4617" w:rsidRPr="002A461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piedāvājuma 3.pozīcijā </w:t>
      </w:r>
      <w:r w:rsidR="002A461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pretendents </w:t>
      </w:r>
      <w:r w:rsidR="002A4617" w:rsidRPr="002A461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piedāvā šķidro slāpekli </w:t>
      </w:r>
      <w:proofErr w:type="spellStart"/>
      <w:r w:rsidR="002A4617" w:rsidRPr="002A461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djuārā</w:t>
      </w:r>
      <w:proofErr w:type="spellEnd"/>
      <w:r w:rsidR="002A4617" w:rsidRPr="002A461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12,2L, savukārt specifikācijā bija prasīts šķidrais slāpeklis </w:t>
      </w:r>
      <w:proofErr w:type="spellStart"/>
      <w:r w:rsidR="002A4617" w:rsidRPr="002A461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djuārā</w:t>
      </w:r>
      <w:proofErr w:type="spellEnd"/>
      <w:r w:rsidR="002A4617" w:rsidRPr="002A461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10 L</w:t>
      </w:r>
      <w:r w:rsidR="001A412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kā rezultātā </w:t>
      </w:r>
      <w:r w:rsidR="001A4121" w:rsidRPr="001A412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pretendenta SIA “WOIKOSKI” tehniskais piedāvājums neatbilst tehniskajā specifikācijā izvirzītajām prasībām</w:t>
      </w:r>
      <w:r w:rsidR="00DB7848" w:rsidRPr="00DB78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7D3B46" w:rsidRPr="007D3B46" w:rsidRDefault="007D3B46" w:rsidP="007D3B4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142" w:right="-625" w:hanging="142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</w:t>
      </w:r>
      <w:bookmarkStart w:id="0" w:name="_GoBack"/>
      <w:bookmarkEnd w:id="0"/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tās daļas apstākļi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Pr="007D3B4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SIA “</w:t>
      </w:r>
      <w:proofErr w:type="spellStart"/>
      <w:r w:rsidRPr="007D3B4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Labochema</w:t>
      </w:r>
      <w:proofErr w:type="spellEnd"/>
      <w:r w:rsidRPr="007D3B4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Latvija”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un </w:t>
      </w:r>
      <w:r w:rsidRPr="007D3B4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SIA ELME MESSER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nav.</w:t>
      </w:r>
    </w:p>
    <w:p w:rsidR="00064B7A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prasībām atbilstošs piedāvājums ar viszemāko cenu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EA347A" w:rsidRPr="00EA347A" w:rsidRDefault="00EA34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EA347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Lēmums:</w:t>
      </w:r>
    </w:p>
    <w:p w:rsidR="00064B7A" w:rsidRPr="00EA347A" w:rsidRDefault="00EA347A" w:rsidP="00EA347A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10.1.</w:t>
      </w:r>
      <w:r w:rsidR="00064B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Pretendenta nosaukums, ar kuru nolemts slēgt iepirkuma līgumu: 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1446"/>
        <w:gridCol w:w="1417"/>
        <w:gridCol w:w="1276"/>
        <w:gridCol w:w="1276"/>
      </w:tblGrid>
      <w:tr w:rsidR="00E61EEA" w:rsidRPr="00444190" w:rsidTr="008A7058">
        <w:trPr>
          <w:trHeight w:val="480"/>
        </w:trPr>
        <w:tc>
          <w:tcPr>
            <w:tcW w:w="3516" w:type="dxa"/>
            <w:vMerge w:val="restart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5415" w:type="dxa"/>
            <w:gridSpan w:val="4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 EUR</w:t>
            </w:r>
            <w:r w:rsidR="00BE4E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bez PVN</w:t>
            </w:r>
          </w:p>
        </w:tc>
      </w:tr>
      <w:tr w:rsidR="00E61EEA" w:rsidRPr="00444190" w:rsidTr="00E61EEA">
        <w:trPr>
          <w:trHeight w:val="270"/>
        </w:trPr>
        <w:tc>
          <w:tcPr>
            <w:tcW w:w="3516" w:type="dxa"/>
            <w:vMerge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46" w:type="dxa"/>
            <w:shd w:val="clear" w:color="auto" w:fill="auto"/>
          </w:tcPr>
          <w:p w:rsidR="00E61EEA" w:rsidRPr="00444190" w:rsidRDefault="00E61EEA" w:rsidP="00E61EE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Nr.1</w:t>
            </w:r>
          </w:p>
        </w:tc>
        <w:tc>
          <w:tcPr>
            <w:tcW w:w="1417" w:type="dxa"/>
            <w:shd w:val="clear" w:color="auto" w:fill="auto"/>
          </w:tcPr>
          <w:p w:rsidR="00E61EEA" w:rsidRPr="00444190" w:rsidRDefault="00E61EEA" w:rsidP="00E61EE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Nr.3</w:t>
            </w:r>
          </w:p>
        </w:tc>
        <w:tc>
          <w:tcPr>
            <w:tcW w:w="1276" w:type="dxa"/>
          </w:tcPr>
          <w:p w:rsidR="00E61EEA" w:rsidRPr="00444190" w:rsidRDefault="00E61EEA" w:rsidP="00E61EE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Nr.5</w:t>
            </w:r>
          </w:p>
        </w:tc>
        <w:tc>
          <w:tcPr>
            <w:tcW w:w="1276" w:type="dxa"/>
          </w:tcPr>
          <w:p w:rsidR="00E61EEA" w:rsidRPr="00444190" w:rsidRDefault="00E61EEA" w:rsidP="00E61EE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Nr.6</w:t>
            </w:r>
          </w:p>
        </w:tc>
      </w:tr>
      <w:tr w:rsidR="00E61EEA" w:rsidRPr="00444190" w:rsidTr="00E61EEA">
        <w:tc>
          <w:tcPr>
            <w:tcW w:w="3516" w:type="dxa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 xml:space="preserve">. Nr. </w:t>
            </w:r>
            <w:r w:rsidRPr="00E61EEA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40003925979</w:t>
            </w:r>
          </w:p>
        </w:tc>
        <w:tc>
          <w:tcPr>
            <w:tcW w:w="1446" w:type="dxa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</w:p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3807,50</w:t>
            </w:r>
          </w:p>
        </w:tc>
        <w:tc>
          <w:tcPr>
            <w:tcW w:w="1417" w:type="dxa"/>
            <w:shd w:val="clear" w:color="auto" w:fill="auto"/>
          </w:tcPr>
          <w:p w:rsidR="00E61EEA" w:rsidRPr="00444190" w:rsidRDefault="00C54048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-</w:t>
            </w:r>
          </w:p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561C8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140,35</w:t>
            </w:r>
          </w:p>
        </w:tc>
        <w:tc>
          <w:tcPr>
            <w:tcW w:w="1276" w:type="dxa"/>
          </w:tcPr>
          <w:p w:rsidR="00E61EEA" w:rsidRPr="00444190" w:rsidRDefault="00C54048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-</w:t>
            </w:r>
          </w:p>
        </w:tc>
      </w:tr>
      <w:tr w:rsidR="00E61EEA" w:rsidRPr="00444190" w:rsidTr="00E61EEA">
        <w:tc>
          <w:tcPr>
            <w:tcW w:w="3516" w:type="dxa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ELME MESSER</w:t>
            </w: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 xml:space="preserve">. Nr. </w:t>
            </w:r>
            <w:r w:rsidRPr="00E61EEA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40003284675</w:t>
            </w:r>
          </w:p>
        </w:tc>
        <w:tc>
          <w:tcPr>
            <w:tcW w:w="1446" w:type="dxa"/>
            <w:shd w:val="clear" w:color="auto" w:fill="auto"/>
          </w:tcPr>
          <w:p w:rsidR="00E61EEA" w:rsidRPr="00444190" w:rsidRDefault="00C54048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0A1E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508,60</w:t>
            </w:r>
          </w:p>
        </w:tc>
        <w:tc>
          <w:tcPr>
            <w:tcW w:w="1276" w:type="dxa"/>
          </w:tcPr>
          <w:p w:rsidR="00E61EEA" w:rsidRPr="00444190" w:rsidRDefault="00C54048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E61EEA" w:rsidRPr="00444190" w:rsidRDefault="00C54048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-</w:t>
            </w:r>
          </w:p>
        </w:tc>
      </w:tr>
    </w:tbl>
    <w:p w:rsidR="00C54048" w:rsidRPr="00C54048" w:rsidRDefault="00EA347A" w:rsidP="00C54048">
      <w:pPr>
        <w:spacing w:line="276" w:lineRule="auto"/>
        <w:ind w:right="-625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10.2</w:t>
      </w:r>
      <w:r w:rsid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Pr="00EA347A">
        <w:t xml:space="preserve"> </w:t>
      </w:r>
      <w:r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atbilstoši Publisko iepir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kumu likuma</w:t>
      </w:r>
      <w:r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8.</w:t>
      </w:r>
      <w:r w:rsidRPr="00EA347A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panta vienpadsmitajai daļai pārtraukt iepirkuma 6.daļu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="00926CA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20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.02.2015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lastRenderedPageBreak/>
        <w:t>Lēmuma pārsūdzēšana: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="00C54048" w:rsidRPr="00D84852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064B7A" w:rsidRPr="00064B7A" w:rsidTr="00064B7A">
        <w:trPr>
          <w:trHeight w:val="1015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064B7A" w:rsidTr="00064B7A">
        <w:trPr>
          <w:trHeight w:val="257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064B7A" w:rsidTr="00064B7A">
        <w:trPr>
          <w:trHeight w:val="1546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Savkovs</w:t>
            </w:r>
          </w:p>
          <w:p w:rsidR="00E61EEA" w:rsidRDefault="00064B7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p w:rsid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Mežule</w:t>
            </w:r>
          </w:p>
          <w:p w:rsidR="00E61EE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E61EEA" w:rsidRP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Timma</w:t>
            </w:r>
            <w:proofErr w:type="spellEnd"/>
          </w:p>
        </w:tc>
      </w:tr>
    </w:tbl>
    <w:p w:rsidR="00064B7A" w:rsidRDefault="00064B7A"/>
    <w:sectPr w:rsidR="00064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E5C"/>
    <w:rsid w:val="00133D34"/>
    <w:rsid w:val="001A4121"/>
    <w:rsid w:val="002A4617"/>
    <w:rsid w:val="00560FB6"/>
    <w:rsid w:val="00561C8F"/>
    <w:rsid w:val="00644A25"/>
    <w:rsid w:val="007036C5"/>
    <w:rsid w:val="007312C2"/>
    <w:rsid w:val="007D3B46"/>
    <w:rsid w:val="008102E7"/>
    <w:rsid w:val="00926CA5"/>
    <w:rsid w:val="009E0D03"/>
    <w:rsid w:val="00BE4E01"/>
    <w:rsid w:val="00C54048"/>
    <w:rsid w:val="00D1733C"/>
    <w:rsid w:val="00D84852"/>
    <w:rsid w:val="00DB7848"/>
    <w:rsid w:val="00E41930"/>
    <w:rsid w:val="00E61EEA"/>
    <w:rsid w:val="00E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11</cp:revision>
  <cp:lastPrinted>2015-02-24T12:40:00Z</cp:lastPrinted>
  <dcterms:created xsi:type="dcterms:W3CDTF">2015-02-24T09:54:00Z</dcterms:created>
  <dcterms:modified xsi:type="dcterms:W3CDTF">2015-02-24T12:41:00Z</dcterms:modified>
</cp:coreProperties>
</file>