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48" w:rsidRPr="0048382E" w:rsidRDefault="008D1D48" w:rsidP="00071EA8">
      <w:pPr>
        <w:jc w:val="center"/>
        <w:rPr>
          <w:rFonts w:ascii="Times New Roman" w:eastAsia="Franklin Gothic Heavy" w:hAnsi="Times New Roman"/>
          <w:b/>
          <w:sz w:val="24"/>
          <w:szCs w:val="24"/>
        </w:rPr>
      </w:pPr>
      <w:r w:rsidRPr="0048382E">
        <w:rPr>
          <w:rFonts w:ascii="Times New Roman" w:eastAsia="Franklin Gothic Heavy" w:hAnsi="Times New Roman"/>
          <w:b/>
          <w:sz w:val="24"/>
          <w:szCs w:val="24"/>
        </w:rPr>
        <w:t xml:space="preserve">Atbilde uz </w:t>
      </w:r>
      <w:r w:rsidR="0070304F">
        <w:rPr>
          <w:rFonts w:ascii="Times New Roman" w:eastAsia="Franklin Gothic Heavy" w:hAnsi="Times New Roman"/>
          <w:b/>
          <w:sz w:val="24"/>
          <w:szCs w:val="24"/>
        </w:rPr>
        <w:t>piegādātāja iesniegtajiem</w:t>
      </w:r>
      <w:r w:rsidRPr="0048382E">
        <w:rPr>
          <w:rFonts w:ascii="Times New Roman" w:eastAsia="Franklin Gothic Heavy" w:hAnsi="Times New Roman"/>
          <w:b/>
          <w:sz w:val="24"/>
          <w:szCs w:val="24"/>
        </w:rPr>
        <w:t xml:space="preserve"> jautājum</w:t>
      </w:r>
      <w:r w:rsidR="0070304F">
        <w:rPr>
          <w:rFonts w:ascii="Times New Roman" w:eastAsia="Franklin Gothic Heavy" w:hAnsi="Times New Roman"/>
          <w:b/>
          <w:sz w:val="24"/>
          <w:szCs w:val="24"/>
        </w:rPr>
        <w:t>iem</w:t>
      </w:r>
      <w:r>
        <w:rPr>
          <w:rFonts w:ascii="Times New Roman" w:eastAsia="Franklin Gothic Heavy" w:hAnsi="Times New Roman"/>
          <w:b/>
          <w:sz w:val="24"/>
          <w:szCs w:val="24"/>
        </w:rPr>
        <w:t xml:space="preserve"> </w:t>
      </w:r>
      <w:r w:rsidRPr="0048382E">
        <w:rPr>
          <w:rFonts w:ascii="Times New Roman" w:eastAsia="Franklin Gothic Heavy" w:hAnsi="Times New Roman"/>
          <w:b/>
          <w:sz w:val="24"/>
          <w:szCs w:val="24"/>
        </w:rPr>
        <w:t>Nr.1</w:t>
      </w:r>
    </w:p>
    <w:p w:rsidR="00071EA8" w:rsidRDefault="008D1D48" w:rsidP="00071EA8">
      <w:pPr>
        <w:jc w:val="center"/>
        <w:rPr>
          <w:rFonts w:ascii="Times New Roman" w:eastAsia="Franklin Gothic Heavy" w:hAnsi="Times New Roman"/>
          <w:sz w:val="24"/>
          <w:szCs w:val="24"/>
        </w:rPr>
      </w:pPr>
      <w:r w:rsidRPr="0048382E">
        <w:rPr>
          <w:rFonts w:ascii="Times New Roman" w:hAnsi="Times New Roman"/>
          <w:color w:val="000000"/>
          <w:spacing w:val="-1"/>
          <w:sz w:val="24"/>
          <w:szCs w:val="24"/>
        </w:rPr>
        <w:t>Publisko iepirkumu likuma 8.</w:t>
      </w:r>
      <w:r w:rsidRPr="0048382E">
        <w:rPr>
          <w:rFonts w:ascii="Times New Roman" w:hAnsi="Times New Roman"/>
          <w:color w:val="000000"/>
          <w:spacing w:val="-1"/>
          <w:sz w:val="24"/>
          <w:szCs w:val="24"/>
          <w:vertAlign w:val="superscript"/>
        </w:rPr>
        <w:t xml:space="preserve">2 </w:t>
      </w:r>
      <w:r w:rsidRPr="0048382E">
        <w:rPr>
          <w:rFonts w:ascii="Times New Roman" w:hAnsi="Times New Roman"/>
          <w:color w:val="000000"/>
          <w:spacing w:val="-1"/>
          <w:sz w:val="24"/>
          <w:szCs w:val="24"/>
        </w:rPr>
        <w:t>panta kārtībā rīkotajā</w:t>
      </w:r>
      <w:r w:rsidRPr="0048382E">
        <w:rPr>
          <w:rFonts w:ascii="Times New Roman" w:eastAsia="Franklin Gothic Heavy" w:hAnsi="Times New Roman"/>
          <w:sz w:val="24"/>
          <w:szCs w:val="24"/>
        </w:rPr>
        <w:t xml:space="preserve"> iepirkumā </w:t>
      </w:r>
    </w:p>
    <w:p w:rsidR="0070304F" w:rsidRDefault="0070304F" w:rsidP="00071EA8">
      <w:pPr>
        <w:jc w:val="center"/>
        <w:rPr>
          <w:rFonts w:ascii="Times New Roman" w:eastAsia="Franklin Gothic Heavy" w:hAnsi="Times New Roman"/>
          <w:sz w:val="24"/>
          <w:szCs w:val="24"/>
        </w:rPr>
      </w:pPr>
      <w:r w:rsidRPr="0070304F">
        <w:rPr>
          <w:rFonts w:ascii="Times New Roman" w:eastAsia="Franklin Gothic Heavy" w:hAnsi="Times New Roman"/>
          <w:sz w:val="24"/>
          <w:szCs w:val="24"/>
        </w:rPr>
        <w:t>Laboratorijas iekārtu montāžu, demontāžu un ieregulēšanu ERAF projekta “Rīgas Tehniskās universitātes institucionālās kapacitātes attīstība”, vienošanās Nr. 2015/0018/2DP/2.1.1.3.3/15/IPIA/VIAA/001, PVS ID 1921 ietvaros’’</w:t>
      </w:r>
    </w:p>
    <w:p w:rsidR="00071EA8" w:rsidRPr="0048382E" w:rsidRDefault="008D1D48" w:rsidP="00071EA8">
      <w:pPr>
        <w:jc w:val="center"/>
        <w:rPr>
          <w:rFonts w:ascii="Times New Roman" w:eastAsia="Franklin Gothic Heavy" w:hAnsi="Times New Roman"/>
          <w:b/>
          <w:sz w:val="24"/>
          <w:szCs w:val="24"/>
        </w:rPr>
      </w:pPr>
      <w:r w:rsidRPr="0048382E">
        <w:rPr>
          <w:rFonts w:ascii="Times New Roman" w:eastAsia="Franklin Gothic Heavy" w:hAnsi="Times New Roman"/>
          <w:b/>
          <w:sz w:val="24"/>
          <w:szCs w:val="24"/>
        </w:rPr>
        <w:t>ID Nr. RTU-2015/</w:t>
      </w:r>
      <w:r w:rsidR="0070304F">
        <w:rPr>
          <w:rFonts w:ascii="Times New Roman" w:eastAsia="Franklin Gothic Heavy" w:hAnsi="Times New Roman"/>
          <w:b/>
          <w:sz w:val="24"/>
          <w:szCs w:val="24"/>
        </w:rPr>
        <w:t>114</w:t>
      </w:r>
    </w:p>
    <w:p w:rsidR="008D1D48" w:rsidRDefault="008D1D48" w:rsidP="00071EA8">
      <w:pPr>
        <w:spacing w:after="0"/>
        <w:jc w:val="both"/>
        <w:rPr>
          <w:rFonts w:ascii="Times New Roman" w:eastAsia="Franklin Gothic Heavy" w:hAnsi="Times New Roman"/>
          <w:sz w:val="24"/>
          <w:szCs w:val="24"/>
        </w:rPr>
      </w:pPr>
    </w:p>
    <w:p w:rsidR="008A06D6" w:rsidRPr="0048382E" w:rsidRDefault="008A06D6" w:rsidP="00071EA8">
      <w:pPr>
        <w:spacing w:after="0"/>
        <w:jc w:val="both"/>
        <w:rPr>
          <w:rFonts w:ascii="Times New Roman" w:eastAsia="Franklin Gothic Heavy" w:hAnsi="Times New Roman"/>
          <w:sz w:val="24"/>
          <w:szCs w:val="24"/>
        </w:rPr>
      </w:pPr>
    </w:p>
    <w:p w:rsidR="008D1D48" w:rsidRPr="0048382E" w:rsidRDefault="008D1D48" w:rsidP="00071EA8">
      <w:pPr>
        <w:jc w:val="both"/>
        <w:rPr>
          <w:rFonts w:ascii="Times New Roman" w:eastAsia="Franklin Gothic Heavy" w:hAnsi="Times New Roman"/>
          <w:sz w:val="24"/>
          <w:szCs w:val="24"/>
        </w:rPr>
      </w:pPr>
      <w:r>
        <w:rPr>
          <w:rFonts w:ascii="Times New Roman" w:eastAsia="Franklin Gothic Heavy" w:hAnsi="Times New Roman"/>
          <w:sz w:val="24"/>
          <w:szCs w:val="24"/>
        </w:rPr>
        <w:t>Rīgā</w:t>
      </w:r>
      <w:r w:rsidR="0070304F">
        <w:rPr>
          <w:rFonts w:ascii="Times New Roman" w:eastAsia="Franklin Gothic Heavy" w:hAnsi="Times New Roman"/>
          <w:sz w:val="24"/>
          <w:szCs w:val="24"/>
        </w:rPr>
        <w:t>, 2015.gada 14</w:t>
      </w:r>
      <w:r w:rsidR="00071EA8">
        <w:rPr>
          <w:rFonts w:ascii="Times New Roman" w:eastAsia="Franklin Gothic Heavy" w:hAnsi="Times New Roman"/>
          <w:sz w:val="24"/>
          <w:szCs w:val="24"/>
        </w:rPr>
        <w:t xml:space="preserve">. </w:t>
      </w:r>
      <w:r w:rsidR="0070304F">
        <w:rPr>
          <w:rFonts w:ascii="Times New Roman" w:eastAsia="Franklin Gothic Heavy" w:hAnsi="Times New Roman"/>
          <w:sz w:val="24"/>
          <w:szCs w:val="24"/>
        </w:rPr>
        <w:t>augustā</w:t>
      </w:r>
    </w:p>
    <w:p w:rsidR="008D1D48" w:rsidRPr="0048382E" w:rsidRDefault="008D1D48" w:rsidP="00071EA8">
      <w:pPr>
        <w:spacing w:after="0"/>
        <w:jc w:val="both"/>
        <w:rPr>
          <w:rFonts w:ascii="Times New Roman" w:eastAsia="Franklin Gothic Heavy" w:hAnsi="Times New Roman"/>
          <w:sz w:val="24"/>
          <w:szCs w:val="24"/>
        </w:rPr>
      </w:pPr>
    </w:p>
    <w:p w:rsidR="008D1D48" w:rsidRPr="0048382E" w:rsidRDefault="008D1D48" w:rsidP="00071EA8">
      <w:pPr>
        <w:jc w:val="both"/>
        <w:rPr>
          <w:rFonts w:ascii="Times New Roman" w:eastAsia="Franklin Gothic Heavy" w:hAnsi="Times New Roman"/>
          <w:b/>
          <w:sz w:val="24"/>
          <w:szCs w:val="24"/>
        </w:rPr>
      </w:pPr>
      <w:r w:rsidRPr="0048382E">
        <w:rPr>
          <w:rFonts w:ascii="Times New Roman" w:eastAsia="Franklin Gothic Heavy" w:hAnsi="Times New Roman"/>
          <w:b/>
          <w:sz w:val="24"/>
          <w:szCs w:val="24"/>
        </w:rPr>
        <w:t>1.jautājums</w:t>
      </w:r>
    </w:p>
    <w:p w:rsidR="00071EA8" w:rsidRDefault="0070304F" w:rsidP="00071EA8">
      <w:pPr>
        <w:spacing w:after="0"/>
        <w:jc w:val="both"/>
        <w:rPr>
          <w:rFonts w:ascii="Times New Roman" w:eastAsia="Times New Roman" w:hAnsi="Times New Roman"/>
          <w:color w:val="000000"/>
          <w:sz w:val="24"/>
          <w:szCs w:val="24"/>
        </w:rPr>
      </w:pPr>
      <w:r w:rsidRPr="0070304F">
        <w:rPr>
          <w:rFonts w:ascii="Times New Roman" w:eastAsia="Times New Roman" w:hAnsi="Times New Roman"/>
          <w:color w:val="000000"/>
          <w:sz w:val="24"/>
          <w:szCs w:val="24"/>
        </w:rPr>
        <w:t xml:space="preserve">Pretendenta kvalifikācija. Punktos 5.1.5 un 5.2.5 uzvaras gadījumā slēdzot līgumu Pretendentam ir jāiesniedz civiltiesiskās atbildības obligātās apdrošināšanas polise pret iespējamajiem zaudējumiem, kuri var rasties Pasūtītājam vai trešajām personām veicot līgumā norādītos darbus ar minimālo atbildības limitu ne mazāku kā EUR 300 000,00 (trīs simti tūkstoši </w:t>
      </w:r>
      <w:proofErr w:type="spellStart"/>
      <w:r w:rsidRPr="004608D6">
        <w:rPr>
          <w:rFonts w:ascii="Times New Roman" w:eastAsia="Times New Roman" w:hAnsi="Times New Roman"/>
          <w:i/>
          <w:color w:val="000000"/>
          <w:sz w:val="24"/>
          <w:szCs w:val="24"/>
        </w:rPr>
        <w:t>euro</w:t>
      </w:r>
      <w:proofErr w:type="spellEnd"/>
      <w:r w:rsidRPr="0070304F">
        <w:rPr>
          <w:rFonts w:ascii="Times New Roman" w:eastAsia="Times New Roman" w:hAnsi="Times New Roman"/>
          <w:color w:val="000000"/>
          <w:sz w:val="24"/>
          <w:szCs w:val="24"/>
        </w:rPr>
        <w:t>) apmērā par katru apdrošināšanas gadījumu. Vai Pasūtītājs uzskatīs par iepirkuma nolikuma prasībām atbilstošu civiltiesiskās atbildības obligātās apdrošināšanas polisi, ja kopējais atbildības limits ir EUR 300 000,00, bet par katru gadījumu EUR 200 000,00?</w:t>
      </w:r>
    </w:p>
    <w:p w:rsidR="0070304F" w:rsidRPr="00071EA8" w:rsidRDefault="0070304F" w:rsidP="00071EA8">
      <w:pPr>
        <w:spacing w:after="0"/>
        <w:jc w:val="both"/>
        <w:rPr>
          <w:rFonts w:ascii="Times New Roman" w:eastAsia="Times New Roman" w:hAnsi="Times New Roman"/>
          <w:color w:val="000000"/>
          <w:sz w:val="24"/>
          <w:szCs w:val="24"/>
        </w:rPr>
      </w:pPr>
    </w:p>
    <w:p w:rsidR="00071EA8" w:rsidRPr="00071EA8" w:rsidRDefault="00071EA8" w:rsidP="00071EA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Atbilde</w:t>
      </w:r>
    </w:p>
    <w:p w:rsidR="00FC4C0F" w:rsidRDefault="0070304F" w:rsidP="00626EAB">
      <w:pPr>
        <w:spacing w:after="0"/>
        <w:jc w:val="both"/>
        <w:rPr>
          <w:rFonts w:ascii="Times New Roman" w:eastAsia="Times New Roman" w:hAnsi="Times New Roman"/>
          <w:color w:val="000000"/>
          <w:sz w:val="24"/>
          <w:szCs w:val="24"/>
        </w:rPr>
      </w:pPr>
      <w:r w:rsidRPr="0070304F">
        <w:rPr>
          <w:rFonts w:ascii="Times New Roman" w:eastAsia="Times New Roman" w:hAnsi="Times New Roman"/>
          <w:color w:val="000000"/>
          <w:sz w:val="24"/>
          <w:szCs w:val="24"/>
        </w:rPr>
        <w:t xml:space="preserve">Atbilstoši nolikuma 5.1.5 un 5.2.5 punktiem Pretendenta kvalifikācijas prasība ir civiltiesiskās atbildības obligātās apdrošināšanas polise pret iespējamajiem zaudējumiem, kuri var rasties Pasūtītājam vai trešajām personām veicot līgumā norādītos darbus ar minimālo atbildības limitu ne mazāku kā EUR 300 000,00 (trīs simti tūkstoši </w:t>
      </w:r>
      <w:proofErr w:type="spellStart"/>
      <w:r w:rsidRPr="004608D6">
        <w:rPr>
          <w:rFonts w:ascii="Times New Roman" w:eastAsia="Times New Roman" w:hAnsi="Times New Roman"/>
          <w:i/>
          <w:color w:val="000000"/>
          <w:sz w:val="24"/>
          <w:szCs w:val="24"/>
        </w:rPr>
        <w:t>euro</w:t>
      </w:r>
      <w:proofErr w:type="spellEnd"/>
      <w:r w:rsidRPr="0070304F">
        <w:rPr>
          <w:rFonts w:ascii="Times New Roman" w:eastAsia="Times New Roman" w:hAnsi="Times New Roman"/>
          <w:color w:val="000000"/>
          <w:sz w:val="24"/>
          <w:szCs w:val="24"/>
        </w:rPr>
        <w:t>) apmērā par katru apdrošināšanas gadījumu. Līdz ar to civiltiesiskās atbildības obligātās apdrošināšanas polise ar atbildības limitu 200 000,00 EUR par katru gadījumu tiks uzskatīta par neatbilstošu nolikuma prasībām</w:t>
      </w:r>
    </w:p>
    <w:p w:rsidR="0070304F" w:rsidRDefault="0070304F" w:rsidP="00626EAB">
      <w:pPr>
        <w:spacing w:after="0"/>
        <w:jc w:val="both"/>
        <w:rPr>
          <w:rFonts w:ascii="Times New Roman" w:eastAsia="Times New Roman" w:hAnsi="Times New Roman"/>
          <w:color w:val="000000"/>
          <w:sz w:val="24"/>
          <w:szCs w:val="24"/>
        </w:rPr>
      </w:pPr>
    </w:p>
    <w:p w:rsidR="0070304F" w:rsidRDefault="0070304F" w:rsidP="0070304F">
      <w:pPr>
        <w:jc w:val="both"/>
        <w:rPr>
          <w:rFonts w:ascii="Times New Roman" w:eastAsia="Franklin Gothic Heavy" w:hAnsi="Times New Roman"/>
          <w:b/>
          <w:sz w:val="24"/>
          <w:szCs w:val="24"/>
        </w:rPr>
      </w:pPr>
      <w:r>
        <w:rPr>
          <w:rFonts w:ascii="Times New Roman" w:eastAsia="Franklin Gothic Heavy" w:hAnsi="Times New Roman"/>
          <w:b/>
          <w:sz w:val="24"/>
          <w:szCs w:val="24"/>
        </w:rPr>
        <w:t>2</w:t>
      </w:r>
      <w:r w:rsidRPr="0048382E">
        <w:rPr>
          <w:rFonts w:ascii="Times New Roman" w:eastAsia="Franklin Gothic Heavy" w:hAnsi="Times New Roman"/>
          <w:b/>
          <w:sz w:val="24"/>
          <w:szCs w:val="24"/>
        </w:rPr>
        <w:t>.jautājums</w:t>
      </w:r>
    </w:p>
    <w:p w:rsidR="0070304F" w:rsidRDefault="0070304F" w:rsidP="0070304F">
      <w:pPr>
        <w:jc w:val="both"/>
        <w:rPr>
          <w:rFonts w:ascii="Times New Roman" w:eastAsia="Franklin Gothic Heavy" w:hAnsi="Times New Roman"/>
          <w:sz w:val="24"/>
          <w:szCs w:val="24"/>
        </w:rPr>
      </w:pPr>
      <w:r w:rsidRPr="0070304F">
        <w:rPr>
          <w:rFonts w:ascii="Times New Roman" w:eastAsia="Franklin Gothic Heavy" w:hAnsi="Times New Roman"/>
          <w:sz w:val="24"/>
          <w:szCs w:val="24"/>
        </w:rPr>
        <w:t>Tehniskā specifikācija, pakalpojuma prasības. Lūdzam sniegt skaidrojumu, vai pretendentam ir jānodrošina iekārtu iepakošana pēc to demontāžas? Vai līguma ietvaros pretendentam ir jānodrošina iekārtu transportēšana un pārvietošana? Ja līguma ietvaros Pretendentam nav jāveic iepriekš minētie darbi, tad lūdzam sniegt informāciju par kompāniju, kas veiks transportēšanas, iepakošanas un pārvietošanas darbus un tās atbildību iekārtu pārvietošanas procesos. Vēršam uzmanību, ka iekārtu pārvietošana ir jāveic ļoti korekti un atbildīgi, lai tās netiktu sabojātas, kā arī uzņēmumam, kuram paredzēts veikt šos darbus, ir jāuzņemas pilna atbildība par veicamajiem darbiem.</w:t>
      </w:r>
    </w:p>
    <w:p w:rsidR="0070304F" w:rsidRDefault="0070304F" w:rsidP="0070304F">
      <w:pPr>
        <w:jc w:val="both"/>
        <w:rPr>
          <w:rFonts w:ascii="Times New Roman" w:eastAsia="Franklin Gothic Heavy" w:hAnsi="Times New Roman"/>
          <w:sz w:val="24"/>
          <w:szCs w:val="24"/>
        </w:rPr>
      </w:pPr>
    </w:p>
    <w:p w:rsidR="0070304F" w:rsidRPr="00071EA8" w:rsidRDefault="0070304F" w:rsidP="0070304F">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Atbilde</w:t>
      </w:r>
    </w:p>
    <w:p w:rsidR="0070304F" w:rsidRDefault="0070304F" w:rsidP="0070304F">
      <w:pPr>
        <w:jc w:val="both"/>
        <w:rPr>
          <w:rFonts w:ascii="Times New Roman" w:eastAsia="Franklin Gothic Heavy" w:hAnsi="Times New Roman"/>
          <w:sz w:val="24"/>
          <w:szCs w:val="24"/>
        </w:rPr>
      </w:pPr>
      <w:r w:rsidRPr="0070304F">
        <w:rPr>
          <w:rFonts w:ascii="Times New Roman" w:eastAsia="Franklin Gothic Heavy" w:hAnsi="Times New Roman"/>
          <w:sz w:val="24"/>
          <w:szCs w:val="24"/>
        </w:rPr>
        <w:t xml:space="preserve">Pretendentam nav jānodrošina iekārtu iepakošana pēc to demontāžas, kā arī nav jānodrošina iekārtu transportēšana un pārvietošana. Iekārtu transportēšanu un iepakošanu nodrošinās SIA RBSSKALS Serviss (iepirkuma </w:t>
      </w:r>
      <w:proofErr w:type="spellStart"/>
      <w:r w:rsidRPr="0070304F">
        <w:rPr>
          <w:rFonts w:ascii="Times New Roman" w:eastAsia="Franklin Gothic Heavy" w:hAnsi="Times New Roman"/>
          <w:sz w:val="24"/>
          <w:szCs w:val="24"/>
        </w:rPr>
        <w:t>id.Nr</w:t>
      </w:r>
      <w:proofErr w:type="spellEnd"/>
      <w:r w:rsidRPr="0070304F">
        <w:rPr>
          <w:rFonts w:ascii="Times New Roman" w:eastAsia="Franklin Gothic Heavy" w:hAnsi="Times New Roman"/>
          <w:sz w:val="24"/>
          <w:szCs w:val="24"/>
        </w:rPr>
        <w:t>.: RTU-2015/103 „Pārvietošanas pakalpojumu nodrošināšana Rīgas Tehniskās universitātes vajadzībām” nolikums pieejams www.rtu.lv, tam pievienots arī līguma projekts). Pretendentam sadarbojoties ar pārvadātāju jāuzrauga iekārtu iepakošana un pārvietošanas process. Pārvadātājs uzņemas atbildību par jebkādiem bojājumiem un materiālās vērtības zaudējumiem, kas varētu rasties pārvietošanas procesā.</w:t>
      </w:r>
    </w:p>
    <w:p w:rsidR="0070304F" w:rsidRDefault="0070304F" w:rsidP="0070304F">
      <w:pPr>
        <w:jc w:val="both"/>
        <w:rPr>
          <w:rFonts w:ascii="Times New Roman" w:eastAsia="Franklin Gothic Heavy" w:hAnsi="Times New Roman"/>
          <w:sz w:val="24"/>
          <w:szCs w:val="24"/>
        </w:rPr>
      </w:pPr>
    </w:p>
    <w:p w:rsidR="0070304F" w:rsidRDefault="0070304F" w:rsidP="0070304F">
      <w:pPr>
        <w:jc w:val="both"/>
        <w:rPr>
          <w:rFonts w:ascii="Times New Roman" w:eastAsia="Franklin Gothic Heavy" w:hAnsi="Times New Roman"/>
          <w:b/>
          <w:sz w:val="24"/>
          <w:szCs w:val="24"/>
        </w:rPr>
      </w:pPr>
      <w:r>
        <w:rPr>
          <w:rFonts w:ascii="Times New Roman" w:eastAsia="Franklin Gothic Heavy" w:hAnsi="Times New Roman"/>
          <w:b/>
          <w:sz w:val="24"/>
          <w:szCs w:val="24"/>
        </w:rPr>
        <w:t>3</w:t>
      </w:r>
      <w:r w:rsidRPr="0048382E">
        <w:rPr>
          <w:rFonts w:ascii="Times New Roman" w:eastAsia="Franklin Gothic Heavy" w:hAnsi="Times New Roman"/>
          <w:b/>
          <w:sz w:val="24"/>
          <w:szCs w:val="24"/>
        </w:rPr>
        <w:t>.jautājums</w:t>
      </w:r>
    </w:p>
    <w:p w:rsidR="0070304F" w:rsidRDefault="0070304F" w:rsidP="0070304F">
      <w:pPr>
        <w:jc w:val="both"/>
        <w:rPr>
          <w:rFonts w:ascii="Times New Roman" w:eastAsia="Franklin Gothic Heavy" w:hAnsi="Times New Roman"/>
          <w:sz w:val="24"/>
          <w:szCs w:val="24"/>
        </w:rPr>
      </w:pPr>
      <w:r w:rsidRPr="0070304F">
        <w:rPr>
          <w:rFonts w:ascii="Times New Roman" w:eastAsia="Franklin Gothic Heavy" w:hAnsi="Times New Roman"/>
          <w:sz w:val="24"/>
          <w:szCs w:val="24"/>
        </w:rPr>
        <w:t>Vai no Rīgas Tehniskās universitātes puses ti</w:t>
      </w:r>
      <w:r w:rsidR="004608D6">
        <w:rPr>
          <w:rFonts w:ascii="Times New Roman" w:eastAsia="Franklin Gothic Heavy" w:hAnsi="Times New Roman"/>
          <w:sz w:val="24"/>
          <w:szCs w:val="24"/>
        </w:rPr>
        <w:t>e</w:t>
      </w:r>
      <w:bookmarkStart w:id="0" w:name="_GoBack"/>
      <w:bookmarkEnd w:id="0"/>
      <w:r w:rsidRPr="0070304F">
        <w:rPr>
          <w:rFonts w:ascii="Times New Roman" w:eastAsia="Franklin Gothic Heavy" w:hAnsi="Times New Roman"/>
          <w:sz w:val="24"/>
          <w:szCs w:val="24"/>
        </w:rPr>
        <w:t>k nodrošināta atbildīgā persona, kura sekos līdzi demontāžas, transportēšanas un montāžas procesiem, lai pilnībā uzraudzītu šos procesus un novērstu jebkādus riskus?</w:t>
      </w:r>
    </w:p>
    <w:p w:rsidR="0070304F" w:rsidRDefault="0070304F" w:rsidP="0070304F">
      <w:pPr>
        <w:jc w:val="both"/>
        <w:rPr>
          <w:rFonts w:ascii="Times New Roman" w:eastAsia="Franklin Gothic Heavy" w:hAnsi="Times New Roman"/>
          <w:sz w:val="24"/>
          <w:szCs w:val="24"/>
        </w:rPr>
      </w:pPr>
    </w:p>
    <w:p w:rsidR="0070304F" w:rsidRPr="00071EA8" w:rsidRDefault="0070304F" w:rsidP="0070304F">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Atbilde</w:t>
      </w:r>
    </w:p>
    <w:p w:rsidR="0070304F" w:rsidRDefault="0070304F" w:rsidP="0070304F">
      <w:pPr>
        <w:jc w:val="both"/>
        <w:rPr>
          <w:rFonts w:ascii="Times New Roman" w:eastAsia="Franklin Gothic Heavy" w:hAnsi="Times New Roman"/>
          <w:sz w:val="24"/>
          <w:szCs w:val="24"/>
        </w:rPr>
      </w:pPr>
      <w:r w:rsidRPr="0070304F">
        <w:rPr>
          <w:rFonts w:ascii="Times New Roman" w:eastAsia="Franklin Gothic Heavy" w:hAnsi="Times New Roman"/>
          <w:sz w:val="24"/>
          <w:szCs w:val="24"/>
        </w:rPr>
        <w:t>Jā, Rīgas Tehniskās universitātes atbildīgā persona šajos procesos – Rīgas Tehniskās universitātes Saimniecības departamenta direktors Sandis Kārkliņš.</w:t>
      </w:r>
    </w:p>
    <w:sectPr w:rsidR="0070304F" w:rsidSect="00071EA8">
      <w:pgSz w:w="11906" w:h="16838"/>
      <w:pgMar w:top="1418" w:right="85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Franklin Gothic Heavy">
    <w:panose1 w:val="020B09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87D19"/>
    <w:multiLevelType w:val="hybridMultilevel"/>
    <w:tmpl w:val="FF785630"/>
    <w:lvl w:ilvl="0" w:tplc="8070B53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2D714D1"/>
    <w:multiLevelType w:val="hybridMultilevel"/>
    <w:tmpl w:val="B8D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48"/>
    <w:rsid w:val="00071EA8"/>
    <w:rsid w:val="0012513F"/>
    <w:rsid w:val="004608D6"/>
    <w:rsid w:val="004E4808"/>
    <w:rsid w:val="00626EAB"/>
    <w:rsid w:val="0070304F"/>
    <w:rsid w:val="00713EC4"/>
    <w:rsid w:val="008A06D6"/>
    <w:rsid w:val="008D1D48"/>
    <w:rsid w:val="00A13F1E"/>
    <w:rsid w:val="00D00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0D369-157F-4074-9652-96C0C63D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D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EA8"/>
    <w:pPr>
      <w:ind w:left="720"/>
      <w:contextualSpacing/>
    </w:pPr>
  </w:style>
  <w:style w:type="character" w:styleId="Hyperlink">
    <w:name w:val="Hyperlink"/>
    <w:basedOn w:val="DefaultParagraphFont"/>
    <w:uiPriority w:val="99"/>
    <w:unhideWhenUsed/>
    <w:rsid w:val="001251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2085</Words>
  <Characters>1189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Miķelsone</dc:creator>
  <cp:keywords/>
  <dc:description/>
  <cp:lastModifiedBy>Jānis Siliņš</cp:lastModifiedBy>
  <cp:revision>5</cp:revision>
  <dcterms:created xsi:type="dcterms:W3CDTF">2015-06-08T07:59:00Z</dcterms:created>
  <dcterms:modified xsi:type="dcterms:W3CDTF">2015-08-14T07:14:00Z</dcterms:modified>
</cp:coreProperties>
</file>