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36"/>
        <w:gridCol w:w="9934"/>
        <w:gridCol w:w="236"/>
      </w:tblGrid>
      <w:tr w:rsidR="008B192B" w:rsidRPr="008A0993" w:rsidTr="003925D5">
        <w:trPr>
          <w:trHeight w:val="4770"/>
        </w:trPr>
        <w:tc>
          <w:tcPr>
            <w:tcW w:w="10170" w:type="dxa"/>
            <w:gridSpan w:val="2"/>
          </w:tcPr>
          <w:p w:rsidR="005806F6" w:rsidRDefault="005806F6" w:rsidP="005806F6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Iepirkuma procedūras </w:t>
            </w:r>
          </w:p>
          <w:p w:rsidR="005806F6" w:rsidRPr="005966CA" w:rsidRDefault="005806F6" w:rsidP="005806F6">
            <w:pPr>
              <w:jc w:val="center"/>
              <w:rPr>
                <w:b/>
                <w:bCs/>
                <w:lang w:eastAsia="x-none"/>
              </w:rPr>
            </w:pPr>
            <w:r w:rsidRPr="0084337A">
              <w:rPr>
                <w:b/>
                <w:bCs/>
              </w:rPr>
              <w:t>“</w:t>
            </w:r>
            <w:r w:rsidRPr="00E14F40">
              <w:rPr>
                <w:b/>
                <w:bCs/>
                <w:lang w:val="lv-LV"/>
              </w:rPr>
              <w:t>Nekustamā īpašuma un civiltiesiskās atbildības apdrošināšana</w:t>
            </w:r>
            <w:r w:rsidRPr="0084337A">
              <w:rPr>
                <w:b/>
                <w:bCs/>
              </w:rPr>
              <w:t>”</w:t>
            </w:r>
          </w:p>
          <w:p w:rsidR="005806F6" w:rsidRDefault="005806F6" w:rsidP="005806F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(id</w:t>
            </w:r>
            <w:r w:rsidR="00156046">
              <w:rPr>
                <w:sz w:val="22"/>
                <w:szCs w:val="22"/>
                <w:lang w:val="lv-LV"/>
              </w:rPr>
              <w:t>entifikācijas Nr. RTU – 2014/185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5806F6" w:rsidRDefault="005806F6" w:rsidP="005806F6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F02DDE" w:rsidRDefault="00E851A6" w:rsidP="00F02DD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Default="005806F6" w:rsidP="00EF30E8">
            <w:pPr>
              <w:rPr>
                <w:sz w:val="22"/>
                <w:szCs w:val="22"/>
                <w:lang w:val="lv-LV"/>
              </w:rPr>
            </w:pPr>
          </w:p>
          <w:p w:rsidR="00EF30E8" w:rsidRDefault="00EF30E8" w:rsidP="00EF30E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Rīgā, Kaļ</w:t>
            </w:r>
            <w:r w:rsidR="00875176">
              <w:rPr>
                <w:sz w:val="22"/>
                <w:szCs w:val="22"/>
                <w:lang w:val="lv-LV"/>
              </w:rPr>
              <w:t>ķ</w:t>
            </w:r>
            <w:r w:rsidR="00DB3F66">
              <w:rPr>
                <w:sz w:val="22"/>
                <w:szCs w:val="22"/>
                <w:lang w:val="lv-LV"/>
              </w:rPr>
              <w:t xml:space="preserve">u ielā 1 – 322. telpā, plkst. 15:30                                                                                         </w:t>
            </w:r>
            <w:r w:rsidR="00F260DA">
              <w:rPr>
                <w:sz w:val="22"/>
                <w:szCs w:val="22"/>
                <w:lang w:val="lv-LV"/>
              </w:rPr>
              <w:t>14</w:t>
            </w:r>
            <w:r w:rsidR="00156046">
              <w:rPr>
                <w:sz w:val="22"/>
                <w:szCs w:val="22"/>
                <w:lang w:val="lv-LV"/>
              </w:rPr>
              <w:t>.11</w:t>
            </w:r>
            <w:r>
              <w:rPr>
                <w:sz w:val="22"/>
                <w:szCs w:val="22"/>
                <w:lang w:val="lv-LV"/>
              </w:rPr>
              <w:t>.2014.</w:t>
            </w:r>
          </w:p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772A45" w:rsidTr="00161D9A">
              <w:tc>
                <w:tcPr>
                  <w:tcW w:w="3085" w:type="dxa"/>
                </w:tcPr>
                <w:p w:rsidR="00EF30E8" w:rsidRPr="006C1AC9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="00EF30E8" w:rsidRPr="006C1AC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0E8" w:rsidRPr="00772A45" w:rsidTr="00161D9A">
              <w:tc>
                <w:tcPr>
                  <w:tcW w:w="3085" w:type="dxa"/>
                </w:tcPr>
                <w:p w:rsidR="00EF30E8" w:rsidRPr="006C1AC9" w:rsidRDefault="00E72B0D" w:rsidP="00EF30E8">
                  <w:pPr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Jevgēnijs Gramsts</w:t>
                  </w:r>
                  <w:r w:rsidR="00EF30E8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depar</w:t>
                  </w:r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tamenta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30E8" w:rsidRPr="00772A45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6C1AC9" w:rsidRDefault="00EF30E8" w:rsidP="00EF30E8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806F6" w:rsidRPr="0052041B" w:rsidTr="00C021A9">
              <w:tc>
                <w:tcPr>
                  <w:tcW w:w="3085" w:type="dxa"/>
                </w:tcPr>
                <w:p w:rsidR="005806F6" w:rsidRPr="006C1AC9" w:rsidRDefault="005806F6" w:rsidP="00C021A9">
                  <w:pPr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>Vita Pūce</w:t>
                  </w:r>
                </w:p>
              </w:tc>
              <w:tc>
                <w:tcPr>
                  <w:tcW w:w="6379" w:type="dxa"/>
                </w:tcPr>
                <w:p w:rsidR="005806F6" w:rsidRPr="006C1AC9" w:rsidRDefault="005806F6" w:rsidP="00C021A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sz w:val="22"/>
                      <w:szCs w:val="22"/>
                    </w:rPr>
                    <w:t>Saimniecības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departamenta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vecākā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finanšu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speciāliste</w:t>
                  </w:r>
                  <w:proofErr w:type="spellEnd"/>
                </w:p>
              </w:tc>
            </w:tr>
            <w:tr w:rsidR="005806F6" w:rsidTr="00C021A9">
              <w:tc>
                <w:tcPr>
                  <w:tcW w:w="3085" w:type="dxa"/>
                </w:tcPr>
                <w:p w:rsidR="005806F6" w:rsidRPr="006C1AC9" w:rsidRDefault="005806F6" w:rsidP="00C021A9">
                  <w:pPr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>Ilgvars Rugājs</w:t>
                  </w:r>
                </w:p>
              </w:tc>
              <w:tc>
                <w:tcPr>
                  <w:tcW w:w="6379" w:type="dxa"/>
                </w:tcPr>
                <w:p w:rsidR="005806F6" w:rsidRPr="006C1AC9" w:rsidRDefault="005806F6" w:rsidP="00C021A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sz w:val="22"/>
                      <w:szCs w:val="22"/>
                    </w:rPr>
                    <w:t>Juridiskā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departamenta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Tiesiskā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nodrošinājuma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nekustamā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īpašuma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jautājumos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nodaļas</w:t>
                  </w:r>
                  <w:proofErr w:type="spellEnd"/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juriskonsults</w:t>
                  </w:r>
                  <w:proofErr w:type="spellEnd"/>
                </w:p>
              </w:tc>
            </w:tr>
          </w:tbl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806F6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 xml:space="preserve">Komisija izveidota ar RTU kanclera </w:t>
            </w:r>
            <w:r w:rsidRPr="005806F6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806F6">
              <w:rPr>
                <w:sz w:val="22"/>
                <w:szCs w:val="22"/>
              </w:rPr>
              <w:t>gada</w:t>
            </w:r>
            <w:proofErr w:type="spellEnd"/>
            <w:proofErr w:type="gramEnd"/>
            <w:r w:rsidRPr="005806F6">
              <w:rPr>
                <w:sz w:val="22"/>
                <w:szCs w:val="22"/>
              </w:rPr>
              <w:t xml:space="preserve"> </w:t>
            </w:r>
            <w:r w:rsidR="00E57FA0" w:rsidRPr="00E57FA0">
              <w:rPr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="00E57FA0" w:rsidRPr="00E57FA0">
              <w:rPr>
                <w:sz w:val="22"/>
                <w:szCs w:val="22"/>
              </w:rPr>
              <w:t>novembra</w:t>
            </w:r>
            <w:proofErr w:type="spellEnd"/>
            <w:proofErr w:type="gramEnd"/>
            <w:r w:rsidR="00E57FA0" w:rsidRPr="00E57FA0">
              <w:rPr>
                <w:sz w:val="22"/>
                <w:szCs w:val="22"/>
              </w:rPr>
              <w:t xml:space="preserve"> </w:t>
            </w:r>
            <w:proofErr w:type="spellStart"/>
            <w:r w:rsidR="00E57FA0" w:rsidRPr="00E57FA0">
              <w:rPr>
                <w:sz w:val="22"/>
                <w:szCs w:val="22"/>
              </w:rPr>
              <w:t>rīkojumu</w:t>
            </w:r>
            <w:proofErr w:type="spellEnd"/>
            <w:r w:rsidR="00E57FA0" w:rsidRPr="00E57FA0">
              <w:rPr>
                <w:sz w:val="22"/>
                <w:szCs w:val="22"/>
              </w:rPr>
              <w:t xml:space="preserve"> Nr. 03000-1/264</w:t>
            </w:r>
            <w:r w:rsidRPr="00E57FA0">
              <w:rPr>
                <w:sz w:val="22"/>
                <w:szCs w:val="22"/>
                <w:lang w:val="lv-LV"/>
              </w:rPr>
              <w:t>.</w:t>
            </w:r>
          </w:p>
          <w:p w:rsidR="005806F6" w:rsidRPr="005806F6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>Sēdi vada un protokolē: J.Gramsts.</w:t>
            </w:r>
          </w:p>
          <w:p w:rsidR="007F539D" w:rsidRPr="006C09E8" w:rsidRDefault="007F539D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8B192B" w:rsidRPr="008A0993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1F2916" w:rsidTr="003925D5">
        <w:trPr>
          <w:trHeight w:val="5458"/>
        </w:trPr>
        <w:tc>
          <w:tcPr>
            <w:tcW w:w="10170" w:type="dxa"/>
            <w:gridSpan w:val="2"/>
          </w:tcPr>
          <w:p w:rsidR="00597F81" w:rsidRPr="006C09E8" w:rsidRDefault="00597F81" w:rsidP="00597F81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Darba kārtībā</w:t>
            </w:r>
          </w:p>
          <w:p w:rsidR="00C92089" w:rsidRPr="006C09E8" w:rsidRDefault="00F260DA" w:rsidP="0051170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Atbilžu sniegšana uz iespējamā pretendenta uzdoto jautājumu.</w:t>
            </w:r>
          </w:p>
          <w:p w:rsidR="00597F81" w:rsidRPr="006C09E8" w:rsidRDefault="00C301DD" w:rsidP="00C301DD">
            <w:pPr>
              <w:tabs>
                <w:tab w:val="left" w:pos="3960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ab/>
            </w:r>
          </w:p>
          <w:p w:rsidR="00597F81" w:rsidRPr="006C09E8" w:rsidRDefault="00597F81" w:rsidP="00597F8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color w:val="000000" w:themeColor="text1"/>
                <w:sz w:val="22"/>
                <w:szCs w:val="22"/>
                <w:lang w:val="lv-LV"/>
              </w:rPr>
              <w:t>1.</w:t>
            </w:r>
            <w:r w:rsidR="00F735A9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260DA">
              <w:rPr>
                <w:b/>
                <w:color w:val="000000" w:themeColor="text1"/>
                <w:sz w:val="22"/>
                <w:szCs w:val="22"/>
                <w:lang w:val="lv-LV"/>
              </w:rPr>
              <w:t>Atbilžu sniegšana uz iespējamā pretendenta uzdoto jautājumu</w:t>
            </w:r>
          </w:p>
          <w:p w:rsidR="00E72B0D" w:rsidRDefault="00E72B0D" w:rsidP="00E72B0D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F260DA" w:rsidRPr="00F260DA" w:rsidRDefault="00597F81" w:rsidP="00F260DA">
            <w:pPr>
              <w:pStyle w:val="ListParagraph"/>
              <w:numPr>
                <w:ilvl w:val="1"/>
                <w:numId w:val="29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Komisijas </w:t>
            </w:r>
            <w:r w:rsidR="00E72B0D" w:rsidRPr="00F260DA">
              <w:rPr>
                <w:color w:val="000000" w:themeColor="text1"/>
                <w:sz w:val="22"/>
                <w:szCs w:val="22"/>
                <w:lang w:val="lv-LV"/>
              </w:rPr>
              <w:t>priekšsēdētājs</w:t>
            </w: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E72B0D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J.Gramsts </w:t>
            </w: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>informē, ka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 xml:space="preserve"> 13.11.2014. (plkst. 13:54)</w:t>
            </w:r>
            <w:r w:rsidR="00AB797D">
              <w:rPr>
                <w:color w:val="000000" w:themeColor="text1"/>
                <w:sz w:val="22"/>
                <w:szCs w:val="22"/>
                <w:lang w:val="lv-LV"/>
              </w:rPr>
              <w:t xml:space="preserve"> un 14.11.2014. (plkst. 14:39)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 xml:space="preserve"> elektroniski</w:t>
            </w:r>
            <w:r w:rsidR="006F082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AB797D">
              <w:rPr>
                <w:color w:val="000000" w:themeColor="text1"/>
                <w:sz w:val="22"/>
                <w:szCs w:val="22"/>
                <w:lang w:val="lv-LV"/>
              </w:rPr>
              <w:t>no iespējamajiem pretendentiem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ir saņemti</w:t>
            </w:r>
            <w:r w:rsidR="00512CCD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>jautājumi par iepirkuma priekšmeta Tehnisko specifikāciju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 xml:space="preserve"> (vēstule</w:t>
            </w:r>
            <w:r w:rsidR="00AB797D">
              <w:rPr>
                <w:color w:val="000000" w:themeColor="text1"/>
                <w:sz w:val="22"/>
                <w:szCs w:val="22"/>
                <w:lang w:val="lv-LV"/>
              </w:rPr>
              <w:t>s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 xml:space="preserve"> pielikumā)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F260DA" w:rsidRPr="00F260DA" w:rsidRDefault="00F260DA" w:rsidP="00F260DA">
            <w:pPr>
              <w:pStyle w:val="ListParagraph"/>
              <w:numPr>
                <w:ilvl w:val="1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Komisijas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locekļi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iepazīstās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jautājumu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saturu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nolemj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sniegt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šādas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atbildes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D9116A" w:rsidRDefault="00D9116A" w:rsidP="006C640B">
            <w:pPr>
              <w:pStyle w:val="ListParagraph"/>
              <w:ind w:left="405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933745" w:rsidRDefault="006C640B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Jautājums</w:t>
            </w:r>
            <w:r w:rsidR="0044498E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Nr.1</w:t>
            </w: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Norādīt precīzu ēkās un telpās vai pie tām uzstādītu iekārtu un ietaišu nosaukumus un/vai raksturojumus, nedefinējot tos kā “..un tml.”</w:t>
            </w:r>
          </w:p>
          <w:p w:rsidR="006C640B" w:rsidRDefault="006C640B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Atbilde</w:t>
            </w:r>
            <w:r w:rsidR="003E7C95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Nr.1</w:t>
            </w: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Iepirkuma priekšmeta daļas Nr.1.1. Tehniskās specifikācijas 1.punktā uzskaitītas minimālās prasības attiecībā uz jēdziena “nekustamais īpašums” izpratni. Pasūtītājs nepārprotami norādījis, ka nekustamā īpašumā, kas tiks apdrošināts, </w:t>
            </w:r>
            <w:r w:rsidR="003E7C95">
              <w:rPr>
                <w:color w:val="000000" w:themeColor="text1"/>
                <w:sz w:val="22"/>
                <w:szCs w:val="22"/>
                <w:lang w:val="lv-LV"/>
              </w:rPr>
              <w:t>iekļaujamas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ēkās un telpās vai pie</w:t>
            </w:r>
            <w:r w:rsidR="0044498E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tām uzstādītās iekārtas un ietaises, t.sk. – antenas, izk</w:t>
            </w:r>
            <w:r w:rsidR="0044498E">
              <w:rPr>
                <w:color w:val="000000" w:themeColor="text1"/>
                <w:sz w:val="22"/>
                <w:szCs w:val="22"/>
                <w:lang w:val="lv-LV"/>
              </w:rPr>
              <w:t>ārtnes, reklāmas iekārtas, un tml. Norāde uz “tml.” Pasūtītāja izpratnē nozīmē, ka uzskaitītās vērtības, bet ne tikai, ir jāiekļauj nekustamā īpašuma apdrošināšanas polisē.</w:t>
            </w:r>
          </w:p>
          <w:p w:rsidR="0044498E" w:rsidRDefault="0044498E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44498E" w:rsidRDefault="0044498E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3E7C95">
              <w:rPr>
                <w:b/>
                <w:color w:val="000000" w:themeColor="text1"/>
                <w:sz w:val="22"/>
                <w:szCs w:val="22"/>
                <w:lang w:val="lv-LV"/>
              </w:rPr>
              <w:t>Jautājums Nr.2: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3E7C95">
              <w:rPr>
                <w:color w:val="000000" w:themeColor="text1"/>
                <w:sz w:val="22"/>
                <w:szCs w:val="22"/>
                <w:lang w:val="lv-LV"/>
              </w:rPr>
              <w:t>Lūdzam norādīt, kādas iebūvētās mēbeles, t.sk. iebūvēto tehniku ir plānots apdrošināt šī iepirkuma ietvaros (iesniegt iebūvēto mēbeļu un iebūvētās tehnikas sarakstu).</w:t>
            </w:r>
          </w:p>
          <w:p w:rsidR="00062E5C" w:rsidRDefault="003E7C95" w:rsidP="0085009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>Atbilde Nr.</w:t>
            </w:r>
            <w:r w:rsidRPr="00AB797D">
              <w:rPr>
                <w:b/>
                <w:color w:val="000000" w:themeColor="text1"/>
                <w:sz w:val="22"/>
                <w:szCs w:val="22"/>
                <w:lang w:val="lv-LV"/>
              </w:rPr>
              <w:t>2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: Iepirkuma procedūras mērķis ir apdrošināt Pasūtītāja īpašumā, valdījumā un lietojumā esošo</w:t>
            </w:r>
            <w:r w:rsidR="00062E5C">
              <w:rPr>
                <w:color w:val="000000" w:themeColor="text1"/>
                <w:sz w:val="22"/>
                <w:szCs w:val="22"/>
                <w:lang w:val="lv-LV"/>
              </w:rPr>
              <w:t xml:space="preserve"> nekustamo īpašumu, arī iebūvētā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s (ar būvi nesaraujami saistītas) mēbeles, t.sk. ar iebūv</w:t>
            </w:r>
            <w:r w:rsidR="0085009B">
              <w:rPr>
                <w:color w:val="000000" w:themeColor="text1"/>
                <w:sz w:val="22"/>
                <w:szCs w:val="22"/>
                <w:lang w:val="lv-LV"/>
              </w:rPr>
              <w:t xml:space="preserve">ēto tehniku. Šāda nekustamā īpašuma atjaunošanas vērtība ir iekļauta apdrošināšanas objekta atjaunošanas vērtībā.  </w:t>
            </w:r>
          </w:p>
          <w:p w:rsidR="00AB797D" w:rsidRDefault="00AB797D" w:rsidP="0085009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B797D" w:rsidRDefault="00AB797D" w:rsidP="00AB797D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>Jautājums Nr.3</w:t>
            </w:r>
            <w:r w:rsidRPr="003E7C95">
              <w:rPr>
                <w:b/>
                <w:color w:val="000000" w:themeColor="text1"/>
                <w:sz w:val="22"/>
                <w:szCs w:val="22"/>
                <w:lang w:val="lv-LV"/>
              </w:rPr>
              <w:t>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Lūdzu, precizējiet, vai ar daļas Nr.1.2. Tehniskās specifikācijas 2.1.punktu ir saprotama arī negūtā peļņa. </w:t>
            </w:r>
          </w:p>
          <w:p w:rsidR="00AB797D" w:rsidRDefault="00AB797D" w:rsidP="00AB797D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>Atbilde Nr.</w:t>
            </w:r>
            <w:r w:rsidRPr="00AB797D">
              <w:rPr>
                <w:b/>
                <w:color w:val="000000" w:themeColor="text1"/>
                <w:sz w:val="22"/>
                <w:szCs w:val="22"/>
                <w:lang w:val="lv-LV"/>
              </w:rPr>
              <w:t>3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: Jā. </w:t>
            </w:r>
            <w:r w:rsidR="00DB3F66">
              <w:rPr>
                <w:color w:val="000000" w:themeColor="text1"/>
                <w:sz w:val="22"/>
                <w:szCs w:val="22"/>
                <w:lang w:val="lv-LV"/>
              </w:rPr>
              <w:t>K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onkrētajā gadījumā </w:t>
            </w:r>
            <w:r w:rsidR="00DB3F66">
              <w:rPr>
                <w:color w:val="000000" w:themeColor="text1"/>
                <w:sz w:val="22"/>
                <w:szCs w:val="22"/>
                <w:lang w:val="lv-LV"/>
              </w:rPr>
              <w:t>ar zaudējumiem ir jāsaprot katrs mantiski novērtējams pametums Civillikuma ceturtās daļas astotās nodaļas pirmās apakšnodaļas izpratnē.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:rsidR="00AB797D" w:rsidRDefault="00AB797D" w:rsidP="0085009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44498E" w:rsidRDefault="0044498E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44498E" w:rsidRPr="006C640B" w:rsidRDefault="0044498E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E46D3" w:rsidRPr="004F6DA6" w:rsidRDefault="007E46D3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4F6DA6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Komisija</w:t>
            </w:r>
            <w:r w:rsidR="00D9116A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s locekļi</w:t>
            </w:r>
            <w:r w:rsidRPr="004F6DA6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 xml:space="preserve"> nolemj:</w:t>
            </w:r>
          </w:p>
          <w:p w:rsidR="007E46D3" w:rsidRPr="006C09E8" w:rsidRDefault="00D9116A" w:rsidP="00A201ED">
            <w:pPr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>Uzdot J.Gramstam sagatavot komisijas sēdes protokolu</w:t>
            </w:r>
            <w:r w:rsidR="007E46D3" w:rsidRPr="006C09E8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; </w:t>
            </w:r>
          </w:p>
          <w:p w:rsidR="007E46D3" w:rsidRPr="006C09E8" w:rsidRDefault="00D9116A" w:rsidP="00A201ED">
            <w:pPr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Lai veicinātu atbilžu sniegšanu pēc iespējas īsākajā laikā, nosūtīt iespējamajam pretendentam komisijas sēdes protokolu elektroniski, vienlaicīgi ievietojot to Pasūtītāja mājaslapā </w:t>
            </w:r>
            <w:r w:rsidR="00356FC6">
              <w:fldChar w:fldCharType="begin"/>
            </w:r>
            <w:r w:rsidR="00356FC6">
              <w:instrText xml:space="preserve"> HYPERLINK "http://www.rtu.lv" </w:instrText>
            </w:r>
            <w:r w:rsidR="00356FC6">
              <w:fldChar w:fldCharType="separate"/>
            </w:r>
            <w:r w:rsidRPr="00E47352">
              <w:rPr>
                <w:rStyle w:val="Hyperlink"/>
                <w:b/>
                <w:sz w:val="22"/>
                <w:szCs w:val="22"/>
                <w:lang w:val="lv-LV"/>
              </w:rPr>
              <w:t>www.rtu.lv</w:t>
            </w:r>
            <w:r w:rsidR="00356FC6">
              <w:rPr>
                <w:rStyle w:val="Hyperlink"/>
                <w:b/>
                <w:sz w:val="22"/>
                <w:szCs w:val="22"/>
                <w:lang w:val="lv-LV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sadaļā “Iepirkumi”.</w:t>
            </w:r>
          </w:p>
          <w:p w:rsidR="004F6DA6" w:rsidRDefault="004F6DA6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0"/>
                <w:szCs w:val="20"/>
                <w:u w:val="single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97F81" w:rsidRPr="006C09E8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Sanāksmi slēdz: </w:t>
            </w:r>
            <w:r w:rsidR="004F6DA6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>, plkst.</w:t>
            </w:r>
            <w:r w:rsidR="00FA3519">
              <w:rPr>
                <w:color w:val="000000" w:themeColor="text1"/>
                <w:sz w:val="22"/>
                <w:szCs w:val="22"/>
                <w:lang w:val="lv-LV"/>
              </w:rPr>
              <w:t>16</w:t>
            </w:r>
            <w:r w:rsidR="00430F81" w:rsidRPr="006C09E8">
              <w:rPr>
                <w:color w:val="000000" w:themeColor="text1"/>
                <w:sz w:val="22"/>
                <w:szCs w:val="22"/>
                <w:lang w:val="lv-LV"/>
              </w:rPr>
              <w:t>:</w:t>
            </w:r>
            <w:r w:rsidR="00FA3519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="00116792">
              <w:rPr>
                <w:color w:val="000000" w:themeColor="text1"/>
                <w:sz w:val="22"/>
                <w:szCs w:val="22"/>
                <w:lang w:val="lv-LV"/>
              </w:rPr>
              <w:t>0</w:t>
            </w:r>
          </w:p>
          <w:p w:rsidR="00597F81" w:rsidRPr="006C09E8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  <w:gridCol w:w="378"/>
            </w:tblGrid>
            <w:tr w:rsidR="001F2916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6C1AC9" w:rsidRDefault="004F6DA6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priekšsēdētājs</w:t>
                  </w:r>
                  <w:r w:rsidR="00597F81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:</w:t>
                  </w:r>
                </w:p>
              </w:tc>
              <w:tc>
                <w:tcPr>
                  <w:tcW w:w="2982" w:type="dxa"/>
                </w:tcPr>
                <w:p w:rsidR="00597F81" w:rsidRPr="006C1AC9" w:rsidRDefault="00C42C22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/paraksts/</w:t>
                  </w:r>
                </w:p>
              </w:tc>
              <w:tc>
                <w:tcPr>
                  <w:tcW w:w="2850" w:type="dxa"/>
                </w:tcPr>
                <w:p w:rsidR="00597F81" w:rsidRPr="006C1AC9" w:rsidRDefault="00014309" w:rsidP="00CE3FA3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 xml:space="preserve">   </w:t>
                  </w:r>
                  <w:r w:rsidR="004F6DA6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J.Gramsts</w:t>
                  </w:r>
                </w:p>
              </w:tc>
            </w:tr>
            <w:tr w:rsidR="001F2916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6C1AC9" w:rsidRDefault="00597F81" w:rsidP="00CE3FA3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F2916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29759E" w:rsidRPr="006C1AC9" w:rsidRDefault="0029759E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6554CA" w:rsidRPr="006C1AC9" w:rsidRDefault="006554CA" w:rsidP="00607C89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6C1AC9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6C1AC9" w:rsidRPr="006C1AC9" w:rsidRDefault="006C1AC9" w:rsidP="006C1A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6C1AC9" w:rsidRPr="006C1AC9" w:rsidRDefault="00C42C22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/paraksts/</w:t>
                  </w:r>
                </w:p>
              </w:tc>
              <w:tc>
                <w:tcPr>
                  <w:tcW w:w="2850" w:type="dxa"/>
                </w:tcPr>
                <w:p w:rsidR="006C1AC9" w:rsidRPr="006C1AC9" w:rsidRDefault="006C1AC9" w:rsidP="006C1AC9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sz w:val="22"/>
                      <w:szCs w:val="22"/>
                    </w:rPr>
                    <w:t>V.Pūce</w:t>
                  </w:r>
                  <w:proofErr w:type="spellEnd"/>
                </w:p>
              </w:tc>
            </w:tr>
            <w:tr w:rsidR="006C1AC9" w:rsidRPr="006C09E8" w:rsidTr="006C1AC9">
              <w:trPr>
                <w:trHeight w:val="360"/>
              </w:trPr>
              <w:tc>
                <w:tcPr>
                  <w:tcW w:w="4050" w:type="dxa"/>
                </w:tcPr>
                <w:p w:rsidR="006C1AC9" w:rsidRPr="006C1AC9" w:rsidRDefault="006C1AC9" w:rsidP="006C1AC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6C1AC9" w:rsidRPr="006C1AC9" w:rsidRDefault="006C1AC9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28" w:type="dxa"/>
                  <w:gridSpan w:val="2"/>
                </w:tcPr>
                <w:p w:rsidR="006C1AC9" w:rsidRPr="006C1AC9" w:rsidRDefault="006C1AC9" w:rsidP="006C1AC9">
                  <w:pPr>
                    <w:jc w:val="center"/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 xml:space="preserve">                      </w:t>
                  </w:r>
                </w:p>
                <w:p w:rsidR="006C1AC9" w:rsidRPr="006C1AC9" w:rsidRDefault="006C1AC9" w:rsidP="006C1AC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AC9" w:rsidRPr="006C1AC9" w:rsidRDefault="006C1AC9" w:rsidP="006C1AC9">
                  <w:pPr>
                    <w:jc w:val="center"/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6C1AC9">
                    <w:rPr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6C1AC9">
                    <w:rPr>
                      <w:sz w:val="22"/>
                      <w:szCs w:val="22"/>
                    </w:rPr>
                    <w:t>I.Rugājs</w:t>
                  </w:r>
                  <w:proofErr w:type="spellEnd"/>
                </w:p>
              </w:tc>
            </w:tr>
            <w:tr w:rsidR="006C1AC9" w:rsidRPr="006C09E8" w:rsidTr="006C1AC9">
              <w:trPr>
                <w:gridAfter w:val="2"/>
                <w:wAfter w:w="3228" w:type="dxa"/>
                <w:trHeight w:val="360"/>
              </w:trPr>
              <w:tc>
                <w:tcPr>
                  <w:tcW w:w="4050" w:type="dxa"/>
                </w:tcPr>
                <w:p w:rsidR="006C1AC9" w:rsidRPr="00AE1B6C" w:rsidRDefault="006C1AC9" w:rsidP="006C1AC9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2982" w:type="dxa"/>
                </w:tcPr>
                <w:p w:rsidR="006C1AC9" w:rsidRPr="006C09E8" w:rsidRDefault="00C42C22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/paraksts/</w:t>
                  </w:r>
                </w:p>
              </w:tc>
            </w:tr>
          </w:tbl>
          <w:p w:rsidR="00597F81" w:rsidRPr="006C09E8" w:rsidRDefault="00597F81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597F81" w:rsidRPr="001F2916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FC798E" w:rsidRPr="008A0993" w:rsidTr="003925D5">
        <w:trPr>
          <w:gridAfter w:val="2"/>
          <w:wAfter w:w="10170" w:type="dxa"/>
          <w:trHeight w:val="5458"/>
        </w:trPr>
        <w:tc>
          <w:tcPr>
            <w:tcW w:w="236" w:type="dxa"/>
          </w:tcPr>
          <w:p w:rsidR="00FC798E" w:rsidRPr="008A0993" w:rsidRDefault="00FC798E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8C0BEC">
      <w:pPr>
        <w:tabs>
          <w:tab w:val="left" w:pos="2835"/>
        </w:tabs>
        <w:jc w:val="both"/>
        <w:rPr>
          <w:b/>
          <w:bCs/>
          <w:sz w:val="22"/>
          <w:szCs w:val="22"/>
          <w:lang w:val="lv-LV"/>
        </w:rPr>
      </w:pPr>
    </w:p>
    <w:p w:rsidR="008B192B" w:rsidRPr="00A902A5" w:rsidRDefault="008B192B" w:rsidP="00210FCA">
      <w:pPr>
        <w:jc w:val="both"/>
        <w:rPr>
          <w:sz w:val="22"/>
          <w:szCs w:val="22"/>
          <w:lang w:val="lv-LV"/>
        </w:rPr>
      </w:pPr>
    </w:p>
    <w:sectPr w:rsidR="008B192B" w:rsidRPr="00A902A5" w:rsidSect="00705EA6">
      <w:headerReference w:type="default" r:id="rId7"/>
      <w:footerReference w:type="default" r:id="rId8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EA" w:rsidRDefault="005722EA" w:rsidP="004F6DA6">
      <w:r>
        <w:separator/>
      </w:r>
    </w:p>
  </w:endnote>
  <w:endnote w:type="continuationSeparator" w:id="0">
    <w:p w:rsidR="005722EA" w:rsidRDefault="005722EA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EA" w:rsidRDefault="005722EA" w:rsidP="004F6DA6">
      <w:r>
        <w:separator/>
      </w:r>
    </w:p>
  </w:footnote>
  <w:footnote w:type="continuationSeparator" w:id="0">
    <w:p w:rsidR="005722EA" w:rsidRDefault="005722EA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4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4F3F7B"/>
    <w:multiLevelType w:val="multilevel"/>
    <w:tmpl w:val="093809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12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9"/>
  </w:num>
  <w:num w:numId="16">
    <w:abstractNumId w:val="4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24"/>
  </w:num>
  <w:num w:numId="22">
    <w:abstractNumId w:val="20"/>
  </w:num>
  <w:num w:numId="23">
    <w:abstractNumId w:val="10"/>
  </w:num>
  <w:num w:numId="24">
    <w:abstractNumId w:val="11"/>
  </w:num>
  <w:num w:numId="25">
    <w:abstractNumId w:val="1"/>
  </w:num>
  <w:num w:numId="26">
    <w:abstractNumId w:val="0"/>
  </w:num>
  <w:num w:numId="27">
    <w:abstractNumId w:val="3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2E5C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792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56FC6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E7C95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98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2EA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40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9D9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09B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97D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2C22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39E8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16A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66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1A6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0DA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7F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3519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99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91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8</cp:revision>
  <cp:lastPrinted>2014-11-14T14:11:00Z</cp:lastPrinted>
  <dcterms:created xsi:type="dcterms:W3CDTF">2014-11-14T09:07:00Z</dcterms:created>
  <dcterms:modified xsi:type="dcterms:W3CDTF">2014-11-14T14:17:00Z</dcterms:modified>
</cp:coreProperties>
</file>