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48593" w14:textId="77777777" w:rsidR="0017562A" w:rsidRPr="00B12CA4" w:rsidRDefault="0017562A" w:rsidP="00B12CA4">
      <w:pPr>
        <w:pStyle w:val="Bezatstarpm"/>
        <w:jc w:val="center"/>
        <w:rPr>
          <w:rFonts w:ascii="Times New Roman" w:hAnsi="Times New Roman"/>
          <w:b/>
          <w:sz w:val="24"/>
          <w:szCs w:val="24"/>
        </w:rPr>
      </w:pPr>
      <w:bookmarkStart w:id="0" w:name="_Hlk55292297"/>
    </w:p>
    <w:p w14:paraId="66CBF44A" w14:textId="77777777" w:rsidR="0017562A" w:rsidRPr="00B12CA4" w:rsidRDefault="0017562A" w:rsidP="00B12CA4">
      <w:pPr>
        <w:pStyle w:val="Bezatstarpm"/>
        <w:jc w:val="center"/>
        <w:rPr>
          <w:rFonts w:ascii="Times New Roman" w:hAnsi="Times New Roman"/>
          <w:b/>
          <w:sz w:val="24"/>
          <w:szCs w:val="24"/>
        </w:rPr>
      </w:pPr>
      <w:r w:rsidRPr="00B12CA4">
        <w:rPr>
          <w:rFonts w:ascii="Times New Roman" w:hAnsi="Times New Roman"/>
          <w:b/>
          <w:sz w:val="24"/>
          <w:szCs w:val="24"/>
        </w:rPr>
        <w:t>SENĀTA LĒMUMS</w:t>
      </w:r>
    </w:p>
    <w:p w14:paraId="3967AF79" w14:textId="0EC19344" w:rsidR="0017562A" w:rsidRPr="00B12CA4" w:rsidRDefault="0017562A" w:rsidP="00B12CA4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 w:rsidRPr="00B12CA4">
        <w:rPr>
          <w:rFonts w:ascii="Times New Roman" w:hAnsi="Times New Roman"/>
          <w:sz w:val="24"/>
          <w:szCs w:val="24"/>
        </w:rPr>
        <w:t xml:space="preserve">RTU Senāta 2021. gada </w:t>
      </w:r>
      <w:r w:rsidR="00761293" w:rsidRPr="00B12CA4">
        <w:rPr>
          <w:rFonts w:ascii="Times New Roman" w:hAnsi="Times New Roman"/>
          <w:sz w:val="24"/>
          <w:szCs w:val="24"/>
        </w:rPr>
        <w:t>15</w:t>
      </w:r>
      <w:r w:rsidRPr="00B12CA4">
        <w:rPr>
          <w:rFonts w:ascii="Times New Roman" w:hAnsi="Times New Roman"/>
          <w:sz w:val="24"/>
          <w:szCs w:val="24"/>
        </w:rPr>
        <w:t xml:space="preserve">. </w:t>
      </w:r>
      <w:r w:rsidR="00761293" w:rsidRPr="00B12CA4">
        <w:rPr>
          <w:rFonts w:ascii="Times New Roman" w:hAnsi="Times New Roman"/>
          <w:sz w:val="24"/>
          <w:szCs w:val="24"/>
        </w:rPr>
        <w:t>novem</w:t>
      </w:r>
      <w:r w:rsidRPr="00B12CA4">
        <w:rPr>
          <w:rFonts w:ascii="Times New Roman" w:hAnsi="Times New Roman"/>
          <w:sz w:val="24"/>
          <w:szCs w:val="24"/>
        </w:rPr>
        <w:t>bra sēde (protokols Nr. 65</w:t>
      </w:r>
      <w:r w:rsidR="00761293" w:rsidRPr="00B12CA4">
        <w:rPr>
          <w:rFonts w:ascii="Times New Roman" w:hAnsi="Times New Roman"/>
          <w:sz w:val="24"/>
          <w:szCs w:val="24"/>
        </w:rPr>
        <w:t>6</w:t>
      </w:r>
      <w:r w:rsidRPr="00B12CA4">
        <w:rPr>
          <w:rFonts w:ascii="Times New Roman" w:hAnsi="Times New Roman"/>
          <w:sz w:val="24"/>
          <w:szCs w:val="24"/>
        </w:rPr>
        <w:t>)</w:t>
      </w:r>
    </w:p>
    <w:p w14:paraId="59C397B6" w14:textId="002D54F6" w:rsidR="00F66FEB" w:rsidRDefault="00F66FEB" w:rsidP="00B12CA4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p w14:paraId="662123C0" w14:textId="77777777" w:rsidR="00ED2807" w:rsidRPr="00B12CA4" w:rsidRDefault="00ED2807" w:rsidP="00B12CA4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p w14:paraId="3FA00A64" w14:textId="2A2897DC" w:rsidR="00F66FEB" w:rsidRPr="00B12CA4" w:rsidRDefault="00F66FEB" w:rsidP="00B12CA4">
      <w:pPr>
        <w:pStyle w:val="Bezatstarpm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12CA4">
        <w:rPr>
          <w:rFonts w:ascii="Times New Roman" w:hAnsi="Times New Roman"/>
          <w:b/>
          <w:bCs/>
          <w:sz w:val="24"/>
          <w:szCs w:val="24"/>
        </w:rPr>
        <w:t xml:space="preserve">Par </w:t>
      </w:r>
      <w:proofErr w:type="spellStart"/>
      <w:r w:rsidR="00EC418E" w:rsidRPr="00B12CA4">
        <w:rPr>
          <w:rFonts w:ascii="Times New Roman" w:hAnsi="Times New Roman"/>
          <w:b/>
          <w:bCs/>
          <w:sz w:val="24"/>
          <w:szCs w:val="24"/>
        </w:rPr>
        <w:t>tenūr</w:t>
      </w:r>
      <w:r w:rsidR="007B7C86" w:rsidRPr="00B12CA4">
        <w:rPr>
          <w:rFonts w:ascii="Times New Roman" w:hAnsi="Times New Roman"/>
          <w:b/>
          <w:bCs/>
          <w:sz w:val="24"/>
          <w:szCs w:val="24"/>
        </w:rPr>
        <w:t>profesora</w:t>
      </w:r>
      <w:proofErr w:type="spellEnd"/>
      <w:r w:rsidR="007B7C86" w:rsidRPr="00B12CA4">
        <w:rPr>
          <w:rFonts w:ascii="Times New Roman" w:hAnsi="Times New Roman"/>
          <w:b/>
          <w:bCs/>
          <w:sz w:val="24"/>
          <w:szCs w:val="24"/>
        </w:rPr>
        <w:t xml:space="preserve"> amata pretendentu atlases un amatā apstiprināšanas nolikuma apstiprināšanu</w:t>
      </w:r>
    </w:p>
    <w:p w14:paraId="79BB8008" w14:textId="77777777" w:rsidR="0017562A" w:rsidRPr="00B12CA4" w:rsidRDefault="0017562A" w:rsidP="00B12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</w:p>
    <w:p w14:paraId="292BADB7" w14:textId="77777777" w:rsidR="00CE2B12" w:rsidRPr="00B12CA4" w:rsidRDefault="0017562A" w:rsidP="00B12C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</w:pPr>
      <w:r w:rsidRPr="00B12CA4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RTU Senāts nolemj</w:t>
      </w:r>
      <w:r w:rsidR="00CE2B12" w:rsidRPr="00B12CA4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:</w:t>
      </w:r>
    </w:p>
    <w:p w14:paraId="0BB4143C" w14:textId="41F0D8CD" w:rsidR="0017562A" w:rsidRPr="00B12CA4" w:rsidRDefault="0017562A" w:rsidP="00B12CA4">
      <w:pPr>
        <w:pStyle w:val="Sarakstarindkopa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izveidot pastāvīgās nodarbinātības (</w:t>
      </w:r>
      <w:proofErr w:type="spellStart"/>
      <w:r w:rsidRPr="00B12CA4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Tenure</w:t>
      </w:r>
      <w:proofErr w:type="spellEnd"/>
      <w:r w:rsidRPr="00B12CA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) profesora</w:t>
      </w:r>
      <w:r w:rsidR="005674B4" w:rsidRPr="00B12CA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(</w:t>
      </w:r>
      <w:r w:rsidR="00834DE5" w:rsidRPr="00B12CA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turpmāk - </w:t>
      </w:r>
      <w:proofErr w:type="spellStart"/>
      <w:r w:rsidR="005674B4" w:rsidRPr="00B12CA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tenūrprofesora</w:t>
      </w:r>
      <w:proofErr w:type="spellEnd"/>
      <w:r w:rsidR="005674B4" w:rsidRPr="00B12CA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)</w:t>
      </w:r>
      <w:r w:rsidRPr="00B12CA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amatu un apstiprināt </w:t>
      </w:r>
      <w:proofErr w:type="spellStart"/>
      <w:r w:rsidR="00DA78AE" w:rsidRPr="00B12CA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tenūr</w:t>
      </w:r>
      <w:r w:rsidRPr="00B12CA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profesora</w:t>
      </w:r>
      <w:proofErr w:type="spellEnd"/>
      <w:r w:rsidRPr="00B12CA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amata pretendent</w:t>
      </w:r>
      <w:r w:rsidR="00CE19E9" w:rsidRPr="00B12CA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u</w:t>
      </w:r>
      <w:r w:rsidRPr="00B12CA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atlases un  apstiprināšanas amatā nolikumu. </w:t>
      </w:r>
    </w:p>
    <w:p w14:paraId="38D97670" w14:textId="77777777" w:rsidR="0017562A" w:rsidRPr="00B12CA4" w:rsidRDefault="00CE2B12" w:rsidP="00B12CA4">
      <w:pPr>
        <w:pStyle w:val="Sarakstarindkop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Senāts nosaka veikt atbilstošus grozījumus Profesoru padomju darbības nolikumā, kas  </w:t>
      </w:r>
      <w:r w:rsidRPr="00B12CA4">
        <w:rPr>
          <w:rFonts w:ascii="Times New Roman" w:hAnsi="Times New Roman" w:cs="Times New Roman"/>
          <w:bCs/>
          <w:sz w:val="24"/>
          <w:szCs w:val="24"/>
        </w:rPr>
        <w:t xml:space="preserve">apstiprināts 2019. gada 24. februāra sēdē (stājies spēkā 25.02.2019.), ar grozījumiem </w:t>
      </w:r>
      <w:r w:rsidRPr="00B12CA4">
        <w:rPr>
          <w:rFonts w:ascii="Times New Roman" w:hAnsi="Times New Roman" w:cs="Times New Roman"/>
          <w:sz w:val="24"/>
          <w:szCs w:val="24"/>
        </w:rPr>
        <w:t>29.06.2020.</w:t>
      </w:r>
      <w:r w:rsidR="00834DE5" w:rsidRPr="00B12CA4">
        <w:rPr>
          <w:rFonts w:ascii="Times New Roman" w:hAnsi="Times New Roman" w:cs="Times New Roman"/>
          <w:sz w:val="24"/>
          <w:szCs w:val="24"/>
        </w:rPr>
        <w:t xml:space="preserve"> </w:t>
      </w:r>
      <w:r w:rsidRPr="00B12CA4">
        <w:rPr>
          <w:rFonts w:ascii="Times New Roman" w:hAnsi="Times New Roman" w:cs="Times New Roman"/>
          <w:sz w:val="24"/>
          <w:szCs w:val="24"/>
        </w:rPr>
        <w:t>(stājušies spēkā 30.06.2020.).</w:t>
      </w:r>
    </w:p>
    <w:p w14:paraId="09A18A32" w14:textId="77777777" w:rsidR="00834DE5" w:rsidRPr="00B12CA4" w:rsidRDefault="00834DE5" w:rsidP="00B12CA4">
      <w:pPr>
        <w:pStyle w:val="Sarakstarindkop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lv-LV"/>
        </w:rPr>
      </w:pPr>
    </w:p>
    <w:p w14:paraId="153F5C09" w14:textId="3B358B6D" w:rsidR="00834DE5" w:rsidRDefault="00834DE5" w:rsidP="00B12CA4">
      <w:pPr>
        <w:pStyle w:val="Sarakstarindkop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lv-LV"/>
        </w:rPr>
      </w:pPr>
    </w:p>
    <w:p w14:paraId="1032993C" w14:textId="77777777" w:rsidR="00ED2807" w:rsidRPr="00B12CA4" w:rsidRDefault="00ED2807" w:rsidP="00B12CA4">
      <w:pPr>
        <w:pStyle w:val="Sarakstarindkop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lv-LV"/>
        </w:rPr>
      </w:pPr>
    </w:p>
    <w:p w14:paraId="3ABA7DC4" w14:textId="77777777" w:rsidR="003B70FB" w:rsidRPr="00B12CA4" w:rsidRDefault="003B70FB" w:rsidP="00B12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B12CA4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Rīgas Tehniskās universitātes</w:t>
      </w:r>
    </w:p>
    <w:p w14:paraId="1F77A065" w14:textId="77777777" w:rsidR="00DA65EB" w:rsidRPr="00B12CA4" w:rsidRDefault="00DA65EB" w:rsidP="00B12C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lv-LV"/>
        </w:rPr>
      </w:pPr>
      <w:r w:rsidRPr="00B12C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v-LV" w:eastAsia="lv-LV"/>
        </w:rPr>
        <w:t>NOLIKUMS</w:t>
      </w:r>
    </w:p>
    <w:p w14:paraId="4B511483" w14:textId="58FD0A28" w:rsidR="0017562A" w:rsidRPr="00B12CA4" w:rsidRDefault="00DA65EB" w:rsidP="00B12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  <w:r w:rsidRPr="00B12CA4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 xml:space="preserve">Par </w:t>
      </w:r>
      <w:proofErr w:type="spellStart"/>
      <w:r w:rsidR="00534774" w:rsidRPr="00B12CA4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tenūr</w:t>
      </w:r>
      <w:r w:rsidR="0049473A" w:rsidRPr="00B12CA4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profesora</w:t>
      </w:r>
      <w:proofErr w:type="spellEnd"/>
      <w:r w:rsidR="002F6BB9" w:rsidRPr="00B12CA4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 xml:space="preserve"> amata pretendenta</w:t>
      </w:r>
      <w:r w:rsidR="000E6011" w:rsidRPr="00B12CA4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 xml:space="preserve"> </w:t>
      </w:r>
      <w:r w:rsidR="002F6BB9" w:rsidRPr="00B12CA4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a</w:t>
      </w:r>
      <w:r w:rsidR="006F3233" w:rsidRPr="00B12CA4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tlas</w:t>
      </w:r>
      <w:r w:rsidR="00CE19E9" w:rsidRPr="00B12CA4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i</w:t>
      </w:r>
      <w:r w:rsidR="006F3233" w:rsidRPr="00B12CA4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 xml:space="preserve"> un </w:t>
      </w:r>
      <w:r w:rsidR="002F6BB9" w:rsidRPr="00B12CA4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 xml:space="preserve"> apstiprināšan</w:t>
      </w:r>
      <w:r w:rsidR="00CE19E9" w:rsidRPr="00B12CA4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u</w:t>
      </w:r>
      <w:r w:rsidR="002F6BB9" w:rsidRPr="00B12CA4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 xml:space="preserve"> </w:t>
      </w:r>
      <w:r w:rsidR="0049473A" w:rsidRPr="00B12CA4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 xml:space="preserve">amatā </w:t>
      </w:r>
      <w:bookmarkEnd w:id="0"/>
    </w:p>
    <w:p w14:paraId="008CCCEC" w14:textId="77777777" w:rsidR="00DA65EB" w:rsidRPr="00B12CA4" w:rsidRDefault="003B70FB" w:rsidP="00B12CA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  <w:r w:rsidRPr="00B12CA4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 </w:t>
      </w:r>
      <w:r w:rsidR="00DA65EB" w:rsidRPr="00B12CA4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pieņemts saskaņā ar </w:t>
      </w:r>
    </w:p>
    <w:p w14:paraId="349E195B" w14:textId="77777777" w:rsidR="00DA65EB" w:rsidRPr="00B12CA4" w:rsidRDefault="00DA65EB" w:rsidP="00B12CA4">
      <w:pPr>
        <w:pStyle w:val="Sarakstarindkopa"/>
        <w:numPr>
          <w:ilvl w:val="0"/>
          <w:numId w:val="38"/>
        </w:num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12CA4">
        <w:rPr>
          <w:rFonts w:ascii="Times New Roman" w:hAnsi="Times New Roman" w:cs="Times New Roman"/>
          <w:i/>
          <w:iCs/>
          <w:sz w:val="24"/>
          <w:szCs w:val="24"/>
        </w:rPr>
        <w:t xml:space="preserve">Augstskolu likuma 33. pantu “Profesoru un asociēto profesoru ievēlēšanas procedūra”, </w:t>
      </w:r>
    </w:p>
    <w:p w14:paraId="303F8490" w14:textId="77777777" w:rsidR="00DA65EB" w:rsidRPr="00B12CA4" w:rsidRDefault="00DA65EB" w:rsidP="00B12CA4">
      <w:pPr>
        <w:pStyle w:val="Sarakstarindkopa"/>
        <w:numPr>
          <w:ilvl w:val="0"/>
          <w:numId w:val="38"/>
        </w:num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12CA4">
        <w:rPr>
          <w:rFonts w:ascii="Times New Roman" w:hAnsi="Times New Roman" w:cs="Times New Roman"/>
          <w:i/>
          <w:iCs/>
          <w:sz w:val="24"/>
          <w:szCs w:val="24"/>
        </w:rPr>
        <w:t xml:space="preserve">Augstskolu likuma 34. pantu “Zinātniskās un pedagoģiskās kvalifikācijas novērtēšana”, </w:t>
      </w:r>
    </w:p>
    <w:p w14:paraId="0FCD58C0" w14:textId="77777777" w:rsidR="003B70FB" w:rsidRPr="00B12CA4" w:rsidRDefault="00DA65EB" w:rsidP="00B12CA4">
      <w:pPr>
        <w:pStyle w:val="Sarakstarindkopa"/>
        <w:numPr>
          <w:ilvl w:val="0"/>
          <w:numId w:val="38"/>
        </w:num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12CA4">
        <w:rPr>
          <w:rFonts w:ascii="Times New Roman" w:hAnsi="Times New Roman" w:cs="Times New Roman"/>
          <w:i/>
          <w:iCs/>
          <w:sz w:val="24"/>
          <w:szCs w:val="24"/>
        </w:rPr>
        <w:t xml:space="preserve">Ministru kabineta </w:t>
      </w:r>
      <w:bookmarkStart w:id="1" w:name="_Hlk68100368"/>
      <w:r w:rsidRPr="00B12CA4">
        <w:rPr>
          <w:rFonts w:ascii="Times New Roman" w:hAnsi="Times New Roman" w:cs="Times New Roman"/>
          <w:i/>
          <w:iCs/>
          <w:sz w:val="24"/>
          <w:szCs w:val="24"/>
        </w:rPr>
        <w:t xml:space="preserve">25.02.2021. noteikumiem Nr. 129 </w:t>
      </w:r>
      <w:bookmarkEnd w:id="1"/>
      <w:r w:rsidRPr="00B12CA4">
        <w:rPr>
          <w:rFonts w:ascii="Times New Roman" w:hAnsi="Times New Roman" w:cs="Times New Roman"/>
          <w:i/>
          <w:iCs/>
          <w:sz w:val="24"/>
          <w:szCs w:val="24"/>
        </w:rPr>
        <w:t xml:space="preserve">“Profesora vai asociētā profesora amata pretendenta un amatā esoša profesora vai asociētā profesora zinātniskās un pedagoģiskās kvalifikācijas vai mākslinieciskās jaunrades darba rezultātu novērtēšanas kārtība” </w:t>
      </w:r>
    </w:p>
    <w:p w14:paraId="53D28412" w14:textId="77777777" w:rsidR="00C56312" w:rsidRPr="00B12CA4" w:rsidRDefault="00C56312" w:rsidP="00B12CA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lv-LV"/>
        </w:rPr>
      </w:pPr>
    </w:p>
    <w:p w14:paraId="4E217F37" w14:textId="77777777" w:rsidR="00C56312" w:rsidRPr="00B12CA4" w:rsidRDefault="00C56312" w:rsidP="00B12CA4">
      <w:pPr>
        <w:pStyle w:val="Sarakstarindkop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12CA4">
        <w:rPr>
          <w:rFonts w:ascii="Times New Roman" w:hAnsi="Times New Roman" w:cs="Times New Roman"/>
          <w:b/>
          <w:bCs/>
          <w:iCs/>
          <w:sz w:val="24"/>
          <w:szCs w:val="24"/>
        </w:rPr>
        <w:t>Nolikumā lietotie termini</w:t>
      </w:r>
    </w:p>
    <w:p w14:paraId="761A4CE0" w14:textId="31B38319" w:rsidR="00C56312" w:rsidRPr="00B12CA4" w:rsidRDefault="00C56312" w:rsidP="00B12CA4">
      <w:pPr>
        <w:pStyle w:val="Sarakstarindkopa"/>
        <w:numPr>
          <w:ilvl w:val="1"/>
          <w:numId w:val="5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2CA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Ten</w:t>
      </w:r>
      <w:r w:rsidR="0004633B" w:rsidRPr="00B12CA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ū</w:t>
      </w:r>
      <w:r w:rsidRPr="00B12CA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r</w:t>
      </w:r>
      <w:r w:rsidR="0004633B" w:rsidRPr="00B12CA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profesors</w:t>
      </w:r>
      <w:proofErr w:type="spellEnd"/>
      <w:r w:rsidR="00914083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jeb 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pastāvīgās</w:t>
      </w:r>
      <w:r w:rsidRPr="00B12CA4">
        <w:rPr>
          <w:rFonts w:ascii="Times New Roman" w:hAnsi="Times New Roman" w:cs="Times New Roman"/>
          <w:sz w:val="24"/>
          <w:szCs w:val="24"/>
        </w:rPr>
        <w:t> nodarbinātības profesor</w:t>
      </w:r>
      <w:r w:rsidR="003F3E0C">
        <w:rPr>
          <w:rFonts w:ascii="Times New Roman" w:hAnsi="Times New Roman" w:cs="Times New Roman"/>
          <w:sz w:val="24"/>
          <w:szCs w:val="24"/>
        </w:rPr>
        <w:t>s</w:t>
      </w:r>
      <w:r w:rsidRPr="00B12CA4">
        <w:rPr>
          <w:rFonts w:ascii="Times New Roman" w:hAnsi="Times New Roman" w:cs="Times New Roman"/>
          <w:sz w:val="24"/>
          <w:szCs w:val="24"/>
        </w:rPr>
        <w:t xml:space="preserve">. 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To var ieņemt</w:t>
      </w:r>
      <w:r w:rsidRPr="00B12CA4">
        <w:rPr>
          <w:rFonts w:ascii="Times New Roman" w:hAnsi="Times New Roman" w:cs="Times New Roman"/>
          <w:sz w:val="24"/>
          <w:szCs w:val="24"/>
        </w:rPr>
        <w:t xml:space="preserve"> līdz valstī noteiktā pensijas vecuma sasniegšanai.</w:t>
      </w:r>
    </w:p>
    <w:p w14:paraId="6A041CCB" w14:textId="77777777" w:rsidR="00C56312" w:rsidRPr="00B12CA4" w:rsidRDefault="00C56312" w:rsidP="00B12CA4">
      <w:pPr>
        <w:pStyle w:val="Sarakstarindkopa"/>
        <w:numPr>
          <w:ilvl w:val="1"/>
          <w:numId w:val="5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2CA4">
        <w:rPr>
          <w:rFonts w:ascii="Times New Roman" w:hAnsi="Times New Roman" w:cs="Times New Roman"/>
          <w:sz w:val="24"/>
          <w:szCs w:val="24"/>
        </w:rPr>
        <w:t xml:space="preserve">Kompetences 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– rīcības</w:t>
      </w:r>
      <w:r w:rsidRPr="00B12CA4">
        <w:rPr>
          <w:rFonts w:ascii="Times New Roman" w:hAnsi="Times New Roman" w:cs="Times New Roman"/>
          <w:sz w:val="24"/>
          <w:szCs w:val="24"/>
        </w:rPr>
        <w:t xml:space="preserve"> rādītāji, kuri raksturo tās darbinieka darbības, personības iezīmes un 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uzvedību</w:t>
      </w:r>
      <w:r w:rsidRPr="00B12CA4">
        <w:rPr>
          <w:rFonts w:ascii="Times New Roman" w:hAnsi="Times New Roman" w:cs="Times New Roman"/>
          <w:sz w:val="24"/>
          <w:szCs w:val="24"/>
        </w:rPr>
        <w:t xml:space="preserve">, kas ļauj sasniegt 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atbilstošus un augstus</w:t>
      </w:r>
      <w:r w:rsidRPr="00B12CA4">
        <w:rPr>
          <w:rFonts w:ascii="Times New Roman" w:hAnsi="Times New Roman" w:cs="Times New Roman"/>
          <w:sz w:val="24"/>
          <w:szCs w:val="24"/>
        </w:rPr>
        <w:t xml:space="preserve"> individuālos darba rezultātus (darba sniegumu)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3AD1757B" w14:textId="77777777" w:rsidR="00C56312" w:rsidRPr="00B12CA4" w:rsidRDefault="00C56312" w:rsidP="00B12CA4">
      <w:pPr>
        <w:pStyle w:val="Sarakstarindkopa"/>
        <w:numPr>
          <w:ilvl w:val="1"/>
          <w:numId w:val="5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2CA4">
        <w:rPr>
          <w:rFonts w:ascii="Times New Roman" w:hAnsi="Times New Roman" w:cs="Times New Roman"/>
          <w:sz w:val="24"/>
          <w:szCs w:val="24"/>
        </w:rPr>
        <w:t xml:space="preserve">Darba sniegums 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B12CA4">
        <w:rPr>
          <w:rFonts w:ascii="Times New Roman" w:hAnsi="Times New Roman" w:cs="Times New Roman"/>
          <w:sz w:val="24"/>
          <w:szCs w:val="24"/>
        </w:rPr>
        <w:t xml:space="preserve"> amatam noteikto mērķu un prasību izpilde atbilstoši 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sagaidītajam un </w:t>
      </w:r>
      <w:r w:rsidRPr="00B12CA4">
        <w:rPr>
          <w:rFonts w:ascii="Times New Roman" w:hAnsi="Times New Roman" w:cs="Times New Roman"/>
          <w:sz w:val="24"/>
          <w:szCs w:val="24"/>
        </w:rPr>
        <w:t>organizācijas stratēģijā noteiktajam rezultātam.</w:t>
      </w:r>
    </w:p>
    <w:p w14:paraId="6F23EE12" w14:textId="10027718" w:rsidR="00C56312" w:rsidRPr="00ED2807" w:rsidRDefault="00C56312" w:rsidP="00B12CA4">
      <w:pPr>
        <w:pStyle w:val="Sarakstarindkopa"/>
        <w:numPr>
          <w:ilvl w:val="1"/>
          <w:numId w:val="5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2CA4">
        <w:rPr>
          <w:rFonts w:ascii="Times New Roman" w:hAnsi="Times New Roman" w:cs="Times New Roman"/>
          <w:sz w:val="24"/>
          <w:szCs w:val="24"/>
        </w:rPr>
        <w:t xml:space="preserve">Dažādības principi 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– iekļaujošas</w:t>
      </w:r>
      <w:r w:rsidRPr="00B12CA4">
        <w:rPr>
          <w:rFonts w:ascii="Times New Roman" w:hAnsi="Times New Roman" w:cs="Times New Roman"/>
          <w:sz w:val="24"/>
          <w:szCs w:val="24"/>
        </w:rPr>
        <w:t xml:space="preserve"> darba 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vides nodrošināšana un pretendentu </w:t>
      </w:r>
      <w:proofErr w:type="spellStart"/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izvērtējums</w:t>
      </w:r>
      <w:proofErr w:type="spellEnd"/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, ņemot vērā viņu sasniegumus, kvalifikāciju, kompetences</w:t>
      </w:r>
      <w:r w:rsidRPr="00B12CA4">
        <w:rPr>
          <w:rFonts w:ascii="Times New Roman" w:hAnsi="Times New Roman" w:cs="Times New Roman"/>
          <w:sz w:val="24"/>
          <w:szCs w:val="24"/>
        </w:rPr>
        <w:t xml:space="preserve"> un darba pieredzi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50712359" w14:textId="77777777" w:rsidR="00C56312" w:rsidRPr="00B12CA4" w:rsidRDefault="00C56312" w:rsidP="00B12C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</w:p>
    <w:p w14:paraId="1F65DC15" w14:textId="77777777" w:rsidR="00171058" w:rsidRPr="00B12CA4" w:rsidRDefault="00DE3788" w:rsidP="00B12CA4">
      <w:pPr>
        <w:pStyle w:val="Sarakstarindkop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Vispārīgie noteikumi</w:t>
      </w:r>
    </w:p>
    <w:p w14:paraId="21B8E7CC" w14:textId="2D33AC80" w:rsidR="0099655E" w:rsidRPr="00B12CA4" w:rsidRDefault="000D0F19" w:rsidP="00B12CA4">
      <w:pPr>
        <w:pStyle w:val="Sarakstarindkopa"/>
        <w:numPr>
          <w:ilvl w:val="1"/>
          <w:numId w:val="5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Rīgas Tehniskās universitātes (turpmāk tekstā – RTU) nolikums par </w:t>
      </w:r>
      <w:r w:rsidR="0099655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pastāvīgā</w:t>
      </w:r>
      <w:r w:rsidR="0076262B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99655E" w:rsidRPr="00B12CA4">
        <w:rPr>
          <w:rFonts w:ascii="Times New Roman" w:hAnsi="Times New Roman" w:cs="Times New Roman"/>
          <w:sz w:val="24"/>
          <w:szCs w:val="24"/>
        </w:rPr>
        <w:t xml:space="preserve"> </w:t>
      </w:r>
      <w:r w:rsidR="0076262B" w:rsidRPr="00B12CA4">
        <w:rPr>
          <w:rFonts w:ascii="Times New Roman" w:hAnsi="Times New Roman" w:cs="Times New Roman"/>
          <w:sz w:val="24"/>
          <w:szCs w:val="24"/>
        </w:rPr>
        <w:t xml:space="preserve">nodarbinātības </w:t>
      </w:r>
      <w:r w:rsidR="0099655E" w:rsidRPr="00B12C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9655E" w:rsidRPr="00B12CA4">
        <w:rPr>
          <w:rFonts w:ascii="Times New Roman" w:hAnsi="Times New Roman" w:cs="Times New Roman"/>
          <w:i/>
          <w:sz w:val="24"/>
          <w:szCs w:val="24"/>
        </w:rPr>
        <w:t>Tenure</w:t>
      </w:r>
      <w:proofErr w:type="spellEnd"/>
      <w:r w:rsidR="0099655E" w:rsidRPr="00B12CA4">
        <w:rPr>
          <w:rFonts w:ascii="Times New Roman" w:hAnsi="Times New Roman" w:cs="Times New Roman"/>
          <w:sz w:val="24"/>
          <w:szCs w:val="24"/>
        </w:rPr>
        <w:t>) profesora</w:t>
      </w:r>
      <w:r w:rsidR="005A6BB8" w:rsidRPr="00B12CA4">
        <w:rPr>
          <w:rFonts w:ascii="Times New Roman" w:hAnsi="Times New Roman" w:cs="Times New Roman"/>
          <w:sz w:val="24"/>
          <w:szCs w:val="24"/>
        </w:rPr>
        <w:t xml:space="preserve"> (</w:t>
      </w:r>
      <w:r w:rsidR="001F787D" w:rsidRPr="00B12CA4">
        <w:rPr>
          <w:rFonts w:ascii="Times New Roman" w:hAnsi="Times New Roman" w:cs="Times New Roman"/>
          <w:sz w:val="24"/>
          <w:szCs w:val="24"/>
        </w:rPr>
        <w:t xml:space="preserve">turpmāk </w:t>
      </w:r>
      <w:r w:rsidR="001F787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– </w:t>
      </w:r>
      <w:proofErr w:type="spellStart"/>
      <w:r w:rsidR="005A6BB8" w:rsidRPr="00B12CA4">
        <w:rPr>
          <w:rFonts w:ascii="Times New Roman" w:hAnsi="Times New Roman" w:cs="Times New Roman"/>
          <w:sz w:val="24"/>
          <w:szCs w:val="24"/>
        </w:rPr>
        <w:t>tenūrprofesor</w:t>
      </w:r>
      <w:r w:rsidR="001F787D" w:rsidRPr="00B12CA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5A6BB8" w:rsidRPr="00B12CA4">
        <w:rPr>
          <w:rFonts w:ascii="Times New Roman" w:hAnsi="Times New Roman" w:cs="Times New Roman"/>
          <w:sz w:val="24"/>
          <w:szCs w:val="24"/>
        </w:rPr>
        <w:t>)</w:t>
      </w:r>
      <w:r w:rsidR="0099655E" w:rsidRPr="00B12CA4">
        <w:rPr>
          <w:rFonts w:ascii="Times New Roman" w:hAnsi="Times New Roman" w:cs="Times New Roman"/>
          <w:sz w:val="24"/>
          <w:szCs w:val="24"/>
        </w:rPr>
        <w:t xml:space="preserve"> amat</w:t>
      </w:r>
      <w:r w:rsidR="00886E27" w:rsidRPr="00B12CA4">
        <w:rPr>
          <w:rFonts w:ascii="Times New Roman" w:hAnsi="Times New Roman" w:cs="Times New Roman"/>
          <w:sz w:val="24"/>
          <w:szCs w:val="24"/>
        </w:rPr>
        <w:t>a pretendenta atlas</w:t>
      </w:r>
      <w:r w:rsidR="005A6BB8" w:rsidRPr="00B12CA4">
        <w:rPr>
          <w:rFonts w:ascii="Times New Roman" w:hAnsi="Times New Roman" w:cs="Times New Roman"/>
          <w:sz w:val="24"/>
          <w:szCs w:val="24"/>
        </w:rPr>
        <w:t>i</w:t>
      </w:r>
      <w:r w:rsidR="00886E27" w:rsidRPr="00B12CA4">
        <w:rPr>
          <w:rFonts w:ascii="Times New Roman" w:hAnsi="Times New Roman" w:cs="Times New Roman"/>
          <w:sz w:val="24"/>
          <w:szCs w:val="24"/>
        </w:rPr>
        <w:t xml:space="preserve"> un apstiprināšan</w:t>
      </w:r>
      <w:r w:rsidR="005A6BB8" w:rsidRPr="00B12CA4">
        <w:rPr>
          <w:rFonts w:ascii="Times New Roman" w:hAnsi="Times New Roman" w:cs="Times New Roman"/>
          <w:sz w:val="24"/>
          <w:szCs w:val="24"/>
        </w:rPr>
        <w:t>u</w:t>
      </w:r>
      <w:r w:rsidR="00886E27" w:rsidRPr="00B12CA4">
        <w:rPr>
          <w:rFonts w:ascii="Times New Roman" w:hAnsi="Times New Roman" w:cs="Times New Roman"/>
          <w:sz w:val="24"/>
          <w:szCs w:val="24"/>
        </w:rPr>
        <w:t xml:space="preserve"> </w:t>
      </w:r>
      <w:r w:rsidR="00496293" w:rsidRPr="00B12CA4">
        <w:rPr>
          <w:rFonts w:ascii="Times New Roman" w:hAnsi="Times New Roman" w:cs="Times New Roman"/>
          <w:sz w:val="24"/>
          <w:szCs w:val="24"/>
        </w:rPr>
        <w:t xml:space="preserve">amatā </w:t>
      </w:r>
      <w:r w:rsidR="0099655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(turpmāk tekstā – nolikums) nosaka prasības un kvalifikācijas novērtēšanas kritērijus </w:t>
      </w:r>
      <w:proofErr w:type="spellStart"/>
      <w:r w:rsidR="001F787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tenūr</w:t>
      </w:r>
      <w:r w:rsidR="00534774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99655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rofesora</w:t>
      </w:r>
      <w:proofErr w:type="spellEnd"/>
      <w:r w:rsidR="0099655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amata pretendentiem, kā arī </w:t>
      </w:r>
      <w:proofErr w:type="spellStart"/>
      <w:r w:rsidR="001F787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tenūr</w:t>
      </w:r>
      <w:r w:rsidR="00534774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3430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rofesora</w:t>
      </w:r>
      <w:proofErr w:type="spellEnd"/>
      <w:r w:rsidR="0053430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9655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amata vietu atvēršanas, </w:t>
      </w:r>
      <w:r w:rsidR="000229D3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pretendentu</w:t>
      </w:r>
      <w:r w:rsidR="0099655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piesaistīšanas, atlases un</w:t>
      </w:r>
      <w:r w:rsidR="00053544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apstiprināšanas amatā </w:t>
      </w:r>
      <w:r w:rsidR="0099655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kārtību.</w:t>
      </w:r>
    </w:p>
    <w:p w14:paraId="4DA1529A" w14:textId="191679EB" w:rsidR="00DD3357" w:rsidRPr="00B12CA4" w:rsidRDefault="00053544" w:rsidP="00B12CA4">
      <w:pPr>
        <w:pStyle w:val="Sarakstarindkopa"/>
        <w:numPr>
          <w:ilvl w:val="1"/>
          <w:numId w:val="5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Pretendentu</w:t>
      </w:r>
      <w:r w:rsidR="00807B2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229D3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RTU </w:t>
      </w:r>
      <w:proofErr w:type="spellStart"/>
      <w:r w:rsidR="00491A95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tenūr</w:t>
      </w:r>
      <w:r w:rsidR="00534774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0229D3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rofesora</w:t>
      </w:r>
      <w:proofErr w:type="spellEnd"/>
      <w:r w:rsidR="000229D3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amatā </w:t>
      </w:r>
      <w:r w:rsidR="000229D3" w:rsidRPr="00B12CA4">
        <w:rPr>
          <w:rFonts w:ascii="Times New Roman" w:hAnsi="Times New Roman" w:cs="Times New Roman"/>
          <w:sz w:val="24"/>
          <w:szCs w:val="24"/>
        </w:rPr>
        <w:t>apstiprina</w:t>
      </w:r>
      <w:r w:rsidR="000229D3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 atbilstības novērtēšanas laiku uz 3 (trim) gadiem</w:t>
      </w:r>
      <w:r w:rsidR="00B4179B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Saņemot pozitīvu vērtējumu šī termiņa </w:t>
      </w:r>
      <w:r w:rsidR="0053430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beigās</w:t>
      </w:r>
      <w:r w:rsidR="00B4179B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55467B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RTU </w:t>
      </w:r>
      <w:r w:rsidR="00B4179B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rektors </w:t>
      </w:r>
      <w:r w:rsidR="0053430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noslēdz </w:t>
      </w:r>
      <w:r w:rsidR="00B4179B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</w:t>
      </w:r>
      <w:r w:rsidR="00B4179B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darbinieku darba līgumu </w:t>
      </w:r>
      <w:r w:rsidR="00A810F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darbam fakultātē </w:t>
      </w:r>
      <w:r w:rsidR="00B4179B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uz nenoteiktu laiku</w:t>
      </w:r>
      <w:r w:rsidR="0053430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Līgumu var pārtraukt, ja </w:t>
      </w:r>
      <w:r w:rsidR="003F4707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RTU </w:t>
      </w:r>
      <w:r w:rsidR="00084E02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Senāt</w:t>
      </w:r>
      <w:r w:rsidR="0053430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s pieņem</w:t>
      </w:r>
      <w:r w:rsidR="00084E02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lēmum</w:t>
      </w:r>
      <w:r w:rsidR="0053430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084E02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</w:t>
      </w:r>
      <w:r w:rsidR="00DA78AE" w:rsidRPr="00B12CA4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  <w:proofErr w:type="spellStart"/>
      <w:r w:rsidR="00DA78AE" w:rsidRPr="00B12CA4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tenūrarofesora</w:t>
      </w:r>
      <w:proofErr w:type="spellEnd"/>
      <w:r w:rsidR="00084E02" w:rsidRPr="00B12CA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53430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amata </w:t>
      </w:r>
      <w:r w:rsidR="00676D1B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vietas</w:t>
      </w:r>
      <w:r w:rsidR="00491A95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323D5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slēgšanu.</w:t>
      </w:r>
    </w:p>
    <w:p w14:paraId="3DC5891D" w14:textId="0C00D9A3" w:rsidR="00914083" w:rsidRPr="00B12CA4" w:rsidRDefault="00914083" w:rsidP="00B12CA4">
      <w:pPr>
        <w:pStyle w:val="Sarakstarindkopa"/>
        <w:numPr>
          <w:ilvl w:val="1"/>
          <w:numId w:val="5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Pretendents </w:t>
      </w:r>
      <w:proofErr w:type="spellStart"/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tenūr</w:t>
      </w:r>
      <w:r w:rsidR="00534774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rofesora</w:t>
      </w:r>
      <w:proofErr w:type="spellEnd"/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amatā tiek </w:t>
      </w:r>
      <w:r w:rsidRPr="00B12CA4">
        <w:rPr>
          <w:rFonts w:ascii="Times New Roman" w:hAnsi="Times New Roman" w:cs="Times New Roman"/>
          <w:sz w:val="24"/>
          <w:szCs w:val="24"/>
        </w:rPr>
        <w:t>apstiprināts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strādā RTU, šis amats nevar būt apvienots ar amatiem ārpus RTU. </w:t>
      </w:r>
      <w:proofErr w:type="spellStart"/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Tenūr</w:t>
      </w:r>
      <w:r w:rsidR="00534774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rofesors</w:t>
      </w:r>
      <w:proofErr w:type="spellEnd"/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nevar vienlaikus ieņemt arī RTU rektora, prorektora, rekto</w:t>
      </w:r>
      <w:r w:rsidR="001D1150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ra vietnieka, dekāna, </w:t>
      </w:r>
      <w:proofErr w:type="spellStart"/>
      <w:r w:rsidR="001D1150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prodekāna</w:t>
      </w:r>
      <w:proofErr w:type="spellEnd"/>
      <w:r w:rsidR="001D1150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amatu. Šajā akadēmiskajā amatā ievēlētu personu vienlaikus var ievēlēt</w:t>
      </w:r>
      <w:r w:rsidR="00ED2807" w:rsidRPr="00ED28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vadošā pētnieka vai pētnieka amatā RTU</w:t>
      </w:r>
      <w:r w:rsidR="00534774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090C3B03" w14:textId="009C394B" w:rsidR="005A518C" w:rsidRPr="00B12CA4" w:rsidRDefault="00331384" w:rsidP="00B12CA4">
      <w:pPr>
        <w:pStyle w:val="Sarakstarindkopa"/>
        <w:numPr>
          <w:ilvl w:val="1"/>
          <w:numId w:val="5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707D3A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 RTU rektora rīkojumu 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tiek </w:t>
      </w:r>
      <w:r w:rsidR="00707D3A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izveidota </w:t>
      </w:r>
      <w:proofErr w:type="spellStart"/>
      <w:r w:rsidR="005319E8" w:rsidRPr="00B12CA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Tenure</w:t>
      </w:r>
      <w:proofErr w:type="spellEnd"/>
      <w:r w:rsidR="002F6BB9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darba grupa,</w:t>
      </w:r>
      <w:r w:rsidR="0079571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</w:t>
      </w:r>
      <w:r w:rsidR="004A4835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ur</w:t>
      </w:r>
      <w:r w:rsidR="00FE6574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as sastāvā</w:t>
      </w:r>
      <w:r w:rsidR="004A4835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</w:t>
      </w:r>
      <w:r w:rsidR="00FE6574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9571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RTU vadības pārstāvj</w:t>
      </w:r>
      <w:r w:rsidR="004A4835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i. Darba grupa</w:t>
      </w:r>
      <w:r w:rsidR="002F6BB9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</w:t>
      </w:r>
      <w:r w:rsidR="008B1970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atbildīga par </w:t>
      </w:r>
      <w:proofErr w:type="spellStart"/>
      <w:r w:rsidR="00491A95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tenūr</w:t>
      </w:r>
      <w:r w:rsidR="00F455C8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0A2299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rofesora</w:t>
      </w:r>
      <w:proofErr w:type="spellEnd"/>
      <w:r w:rsidR="000A2299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vietu </w:t>
      </w:r>
      <w:r w:rsidR="0012730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veidošanas organizēšanu </w:t>
      </w:r>
      <w:r w:rsidR="005E20D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atbilstoši RTU stratēģijai</w:t>
      </w:r>
      <w:r w:rsidR="000A2299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4E2871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konkursa organizēšanas</w:t>
      </w:r>
      <w:r w:rsidR="000A2299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r w:rsidR="0012730D" w:rsidRPr="00B12CA4">
        <w:rPr>
          <w:rFonts w:ascii="Times New Roman" w:hAnsi="Times New Roman" w:cs="Times New Roman"/>
          <w:sz w:val="24"/>
          <w:szCs w:val="24"/>
        </w:rPr>
        <w:t xml:space="preserve">amatā apstiprināšanas </w:t>
      </w:r>
      <w:r w:rsidR="00491A95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procedūras </w:t>
      </w:r>
      <w:r w:rsidR="008B1970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norises uzraudzību</w:t>
      </w:r>
      <w:r w:rsidR="000A2299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, neatkarīgo ekspertu</w:t>
      </w:r>
      <w:r w:rsidR="00491A95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piesaisti un</w:t>
      </w:r>
      <w:r w:rsidR="000A2299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apstiprināšanu, kā arī par sūdzību un pretenziju izskatīšanu</w:t>
      </w:r>
      <w:r w:rsidR="00E26F39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rektora uzdevumā</w:t>
      </w:r>
      <w:r w:rsidR="003E3909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nolikumā </w:t>
      </w:r>
      <w:r w:rsidR="00A96677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ietverto </w:t>
      </w:r>
      <w:r w:rsidR="00491A95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procedūru izpildes </w:t>
      </w:r>
      <w:r w:rsidR="003E3909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uzlabošanu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35409A96" w14:textId="064A6EDF" w:rsidR="00723A5C" w:rsidRPr="00B12CA4" w:rsidRDefault="00723A5C" w:rsidP="00B12CA4">
      <w:pPr>
        <w:pStyle w:val="Sarakstarindkopa"/>
        <w:numPr>
          <w:ilvl w:val="1"/>
          <w:numId w:val="5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RTU rektora rīkojumu tiek izveidota </w:t>
      </w:r>
      <w:r w:rsidR="00D54544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retendentu </w:t>
      </w:r>
      <w:r w:rsidR="00016C89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 </w:t>
      </w:r>
      <w:proofErr w:type="spellStart"/>
      <w:r w:rsidR="00016C89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tenūr</w:t>
      </w:r>
      <w:r w:rsidR="00534774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016C89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rofesora</w:t>
      </w:r>
      <w:proofErr w:type="spellEnd"/>
      <w:r w:rsidR="00016C89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amatu 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izvērtēšanas darba grupa</w:t>
      </w:r>
      <w:r w:rsidR="00016C89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D54544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kuras sastāvā ir attiecīgās fakultātes dekāns</w:t>
      </w:r>
      <w:r w:rsidR="00774AF1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viņa pilnvarota persona no fakultātes, 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zinātņu vai studiju prorektors, attiecīgās nozares vai industrijas pārstāvis, </w:t>
      </w:r>
      <w:r w:rsidR="00774AF1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augsti novērtēts profesors no citas zinātņu nozares</w:t>
      </w:r>
      <w:r w:rsidR="00D54544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</w:t>
      </w:r>
      <w:r w:rsidR="00774AF1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Personāla nodaļas pārstāvis.</w:t>
      </w:r>
    </w:p>
    <w:p w14:paraId="1C92BF66" w14:textId="77777777" w:rsidR="00537DD5" w:rsidRPr="00B12CA4" w:rsidRDefault="00537DD5" w:rsidP="00B12CA4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64F41ECC" w14:textId="3894B020" w:rsidR="000C54C9" w:rsidRPr="00ED2807" w:rsidRDefault="008C36D7" w:rsidP="00ED2807">
      <w:pPr>
        <w:pStyle w:val="Sarakstarindkop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proofErr w:type="spellStart"/>
      <w:r w:rsidRPr="00B12C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v-LV"/>
        </w:rPr>
        <w:t>Ten</w:t>
      </w:r>
      <w:r w:rsidR="000C54C9" w:rsidRPr="00B12C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v-LV"/>
        </w:rPr>
        <w:t>u</w:t>
      </w:r>
      <w:r w:rsidRPr="00B12C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v-LV"/>
        </w:rPr>
        <w:t>r</w:t>
      </w:r>
      <w:r w:rsidR="003A6667" w:rsidRPr="00B12CA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profesora</w:t>
      </w:r>
      <w:proofErr w:type="spellEnd"/>
      <w:r w:rsidR="003A6667" w:rsidRPr="00B12CA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amata vietas </w:t>
      </w:r>
      <w:r w:rsidR="00E35044" w:rsidRPr="00B12CA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izveidošana</w:t>
      </w:r>
      <w:r w:rsidR="006205DC" w:rsidRPr="00B12CA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 kārtība</w:t>
      </w:r>
    </w:p>
    <w:p w14:paraId="044E6AFA" w14:textId="4812F763" w:rsidR="00DD3357" w:rsidRPr="00B12CA4" w:rsidRDefault="00156B38" w:rsidP="00B12CA4">
      <w:pPr>
        <w:pStyle w:val="Sarakstarindkopa"/>
        <w:numPr>
          <w:ilvl w:val="1"/>
          <w:numId w:val="5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Pieteikšanos uz </w:t>
      </w:r>
      <w:proofErr w:type="spellStart"/>
      <w:r w:rsidR="00491A95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tenūra</w:t>
      </w:r>
      <w:r w:rsidR="00534774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98182A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rofesora</w:t>
      </w:r>
      <w:proofErr w:type="spellEnd"/>
      <w:r w:rsidR="0098182A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amata viet</w:t>
      </w:r>
      <w:r w:rsidR="0079571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2730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atvēršanu</w:t>
      </w:r>
      <w:r w:rsidR="00F555A7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izsludina RTU rektors</w:t>
      </w:r>
      <w:r w:rsidR="00F555A7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4F6ABDC1" w14:textId="7CDA2902" w:rsidR="00E61C6E" w:rsidRPr="00B12CA4" w:rsidRDefault="00491A95" w:rsidP="00B12CA4">
      <w:pPr>
        <w:pStyle w:val="Sarakstarindkopa"/>
        <w:numPr>
          <w:ilvl w:val="1"/>
          <w:numId w:val="5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2" w:name="_Hlk83369275"/>
      <w:proofErr w:type="spellStart"/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Tenūr</w:t>
      </w:r>
      <w:r w:rsidR="0098182A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profesora</w:t>
      </w:r>
      <w:proofErr w:type="spellEnd"/>
      <w:r w:rsidR="0098182A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D3357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amata vieta</w:t>
      </w:r>
      <w:r w:rsidR="004F0FE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="00AD2F53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 </w:t>
      </w:r>
      <w:r w:rsidR="004F0FE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viet</w:t>
      </w:r>
      <w:r w:rsidR="00DD3357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as</w:t>
      </w:r>
      <w:r w:rsidR="004F0FE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DD3357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fakultātē tiek f</w:t>
      </w:r>
      <w:r w:rsidR="00D85EA0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inansēta</w:t>
      </w:r>
      <w:r w:rsidR="004F0FE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="00AD2F53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 </w:t>
      </w:r>
      <w:r w:rsidR="004F0FE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finansētas)</w:t>
      </w:r>
      <w:r w:rsidR="00B92F30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 RTU centralizēt</w:t>
      </w:r>
      <w:r w:rsidR="004F0FE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iem līdzekļiem</w:t>
      </w:r>
      <w:r w:rsidR="0000210F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</w:t>
      </w:r>
      <w:r w:rsidR="00AD2F53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līdzfinansēta</w:t>
      </w:r>
      <w:r w:rsidR="007524E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D2F53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(vai </w:t>
      </w:r>
      <w:r w:rsidR="004F0FE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līdzfinansētas</w:t>
      </w:r>
      <w:r w:rsidR="00AD2F53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4F0FE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 </w:t>
      </w:r>
      <w:r w:rsidR="0000210F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f</w:t>
      </w:r>
      <w:r w:rsidR="007524E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akultāte</w:t>
      </w:r>
      <w:r w:rsidR="00B732B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7524E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finanšu līdzekļiem.</w:t>
      </w:r>
      <w:r w:rsidR="00E61C6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16C89" w:rsidRPr="00B12CA4">
        <w:rPr>
          <w:rFonts w:ascii="Times New Roman" w:hAnsi="Times New Roman" w:cs="Times New Roman"/>
          <w:sz w:val="24"/>
          <w:szCs w:val="24"/>
          <w:lang w:eastAsia="lv-LV"/>
        </w:rPr>
        <w:t xml:space="preserve">Ar RTU rektora rīkojumu tiek noteikts </w:t>
      </w:r>
      <w:proofErr w:type="spellStart"/>
      <w:r w:rsidR="001F787D" w:rsidRPr="00B12CA4">
        <w:rPr>
          <w:rFonts w:ascii="Times New Roman" w:hAnsi="Times New Roman" w:cs="Times New Roman"/>
          <w:sz w:val="24"/>
          <w:szCs w:val="24"/>
          <w:lang w:eastAsia="lv-LV"/>
        </w:rPr>
        <w:t>tenūr</w:t>
      </w:r>
      <w:r w:rsidR="00534774" w:rsidRPr="00B12CA4">
        <w:rPr>
          <w:rFonts w:ascii="Times New Roman" w:hAnsi="Times New Roman" w:cs="Times New Roman"/>
          <w:sz w:val="24"/>
          <w:szCs w:val="24"/>
          <w:lang w:eastAsia="lv-LV"/>
        </w:rPr>
        <w:t>p</w:t>
      </w:r>
      <w:r w:rsidR="00016C89" w:rsidRPr="00B12CA4">
        <w:rPr>
          <w:rFonts w:ascii="Times New Roman" w:hAnsi="Times New Roman" w:cs="Times New Roman"/>
          <w:sz w:val="24"/>
          <w:szCs w:val="24"/>
          <w:lang w:eastAsia="lv-LV"/>
        </w:rPr>
        <w:t>rofesora</w:t>
      </w:r>
      <w:proofErr w:type="spellEnd"/>
      <w:r w:rsidR="00016C89" w:rsidRPr="00B12CA4">
        <w:rPr>
          <w:rFonts w:ascii="Times New Roman" w:hAnsi="Times New Roman" w:cs="Times New Roman"/>
          <w:sz w:val="24"/>
          <w:szCs w:val="24"/>
          <w:lang w:eastAsia="lv-LV"/>
        </w:rPr>
        <w:t xml:space="preserve"> amata atalgojums un finansējuma sadalījums šo izmaksu segšanai. Pārējās ar šo amata vietu saistītās izmaksas sedz fakultāte.</w:t>
      </w:r>
    </w:p>
    <w:p w14:paraId="4CFE7326" w14:textId="20199631" w:rsidR="007524ED" w:rsidRPr="00B12CA4" w:rsidRDefault="00491A95" w:rsidP="00B12CA4">
      <w:pPr>
        <w:pStyle w:val="Sarakstarindkopa"/>
        <w:numPr>
          <w:ilvl w:val="1"/>
          <w:numId w:val="5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Tenūr</w:t>
      </w:r>
      <w:r w:rsidR="00534774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DA615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rofesora</w:t>
      </w:r>
      <w:proofErr w:type="spellEnd"/>
      <w:r w:rsidR="00DA615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amata vietas</w:t>
      </w:r>
      <w:r w:rsidR="00AD2F53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(vai vietu)</w:t>
      </w:r>
      <w:r w:rsidR="00DA615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33AC0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izveidošanu </w:t>
      </w:r>
      <w:r w:rsidR="00DA615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fakultātē</w:t>
      </w:r>
      <w:r w:rsidR="00D33AC0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12730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pieteiktajā </w:t>
      </w:r>
      <w:r w:rsidR="004B7236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zinātnes </w:t>
      </w:r>
      <w:r w:rsidR="0012730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nozarē</w:t>
      </w:r>
      <w:r w:rsidR="004B7236" w:rsidRPr="00B12CA4">
        <w:rPr>
          <w:rFonts w:ascii="Times New Roman" w:hAnsi="Times New Roman" w:cs="Times New Roman"/>
          <w:sz w:val="24"/>
          <w:szCs w:val="24"/>
        </w:rPr>
        <w:t xml:space="preserve"> </w:t>
      </w:r>
      <w:r w:rsidR="001D05E6" w:rsidRPr="00B12CA4">
        <w:rPr>
          <w:rFonts w:ascii="Times New Roman" w:hAnsi="Times New Roman" w:cs="Times New Roman"/>
          <w:sz w:val="24"/>
          <w:szCs w:val="24"/>
        </w:rPr>
        <w:t>un pētījumu tēmu (-</w:t>
      </w:r>
      <w:proofErr w:type="spellStart"/>
      <w:r w:rsidR="001D05E6" w:rsidRPr="00B12CA4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1D05E6" w:rsidRPr="00B12CA4">
        <w:rPr>
          <w:rFonts w:ascii="Times New Roman" w:hAnsi="Times New Roman" w:cs="Times New Roman"/>
          <w:sz w:val="24"/>
          <w:szCs w:val="24"/>
        </w:rPr>
        <w:t xml:space="preserve">), </w:t>
      </w:r>
      <w:r w:rsidR="00AD2F53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iz</w:t>
      </w:r>
      <w:r w:rsidR="00D33AC0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vērtē</w:t>
      </w:r>
      <w:r w:rsidR="00DA615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r w:rsidR="00293DB4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iesaka </w:t>
      </w:r>
      <w:r w:rsidR="00DA615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izsludināšanai </w:t>
      </w:r>
      <w:proofErr w:type="spellStart"/>
      <w:r w:rsidR="00033364" w:rsidRPr="00B12CA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Tenure</w:t>
      </w:r>
      <w:proofErr w:type="spellEnd"/>
      <w:r w:rsidR="00033364" w:rsidRPr="00B12CA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E22C9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darba grupa.</w:t>
      </w:r>
    </w:p>
    <w:bookmarkEnd w:id="2"/>
    <w:p w14:paraId="58945112" w14:textId="10A39C50" w:rsidR="003369EE" w:rsidRPr="00B12CA4" w:rsidRDefault="00491A95" w:rsidP="00B12CA4">
      <w:pPr>
        <w:pStyle w:val="Sarakstarindkopa"/>
        <w:numPr>
          <w:ilvl w:val="1"/>
          <w:numId w:val="5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Tenūr</w:t>
      </w:r>
      <w:r w:rsidR="003369E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profesora</w:t>
      </w:r>
      <w:proofErr w:type="spellEnd"/>
      <w:r w:rsidR="003369E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amata vietas </w:t>
      </w:r>
      <w:r w:rsidR="00E35044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izveidošanas </w:t>
      </w:r>
      <w:r w:rsidR="003369E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kārtība:</w:t>
      </w:r>
    </w:p>
    <w:p w14:paraId="4CF6F854" w14:textId="694118E3" w:rsidR="006377FE" w:rsidRPr="00B12CA4" w:rsidRDefault="00A2798F" w:rsidP="00B12CA4">
      <w:pPr>
        <w:pStyle w:val="Sarakstarindkopa"/>
        <w:numPr>
          <w:ilvl w:val="2"/>
          <w:numId w:val="5"/>
        </w:numPr>
        <w:spacing w:after="0" w:line="240" w:lineRule="auto"/>
        <w:ind w:left="1701" w:hanging="56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Dekāns</w:t>
      </w:r>
      <w:r w:rsidR="00033364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377F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iesniedz </w:t>
      </w:r>
      <w:r w:rsidR="00AD0D25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fakultātes Domes apstiprinātu </w:t>
      </w:r>
      <w:r w:rsidR="006377F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pieteikumu</w:t>
      </w:r>
      <w:r w:rsidRPr="00B12CA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033364" w:rsidRPr="00B12CA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Tenure</w:t>
      </w:r>
      <w:proofErr w:type="spellEnd"/>
      <w:r w:rsidR="00033364" w:rsidRPr="00B12CA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F555A7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darba grupai</w:t>
      </w:r>
      <w:r w:rsidR="006377F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norādot </w:t>
      </w:r>
      <w:r w:rsidR="00AD0D25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pētījumu virzienu vai </w:t>
      </w:r>
      <w:r w:rsidR="006377F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tēmu</w:t>
      </w:r>
      <w:r w:rsidR="00E35044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</w:t>
      </w:r>
      <w:r w:rsidR="00AD0D25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attiecīgo zinātņu nozari un </w:t>
      </w:r>
      <w:proofErr w:type="spellStart"/>
      <w:r w:rsidR="00AD0D25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apakšnozari</w:t>
      </w:r>
      <w:proofErr w:type="spellEnd"/>
      <w:r w:rsidR="0000210F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6377F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kurā </w:t>
      </w:r>
      <w:r w:rsidR="00E35044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darbosies</w:t>
      </w:r>
      <w:r w:rsidR="00F5629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377F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pastāvīgā</w:t>
      </w:r>
      <w:r w:rsidR="00B51C67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 </w:t>
      </w:r>
      <w:proofErr w:type="spellStart"/>
      <w:r w:rsidR="00FD3462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tenūr</w:t>
      </w:r>
      <w:r w:rsidR="0098182A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profeso</w:t>
      </w:r>
      <w:r w:rsidR="00B51C67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rs</w:t>
      </w:r>
      <w:proofErr w:type="spellEnd"/>
      <w:r w:rsidR="006377F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. Šai tēmai ir jāatbilst fakultātes un RTU Stratēģijas 2021</w:t>
      </w:r>
      <w:r w:rsidR="00EF2076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</w:t>
      </w:r>
      <w:r w:rsidR="00E26F39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2025</w:t>
      </w:r>
      <w:r w:rsidR="00E35044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. gada</w:t>
      </w:r>
      <w:r w:rsidR="006377F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35044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mērķiem </w:t>
      </w:r>
      <w:r w:rsidR="006377F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un jāveicina to sasniegšana</w:t>
      </w:r>
      <w:r w:rsidR="00F5629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, pieteikumā n</w:t>
      </w:r>
      <w:r w:rsidR="006377F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orād</w:t>
      </w:r>
      <w:r w:rsidR="00F5629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ot</w:t>
      </w:r>
      <w:r w:rsidR="006B7228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īsu </w:t>
      </w:r>
      <w:r w:rsidR="006377F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pamatojum</w:t>
      </w:r>
      <w:r w:rsidR="005407D4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6377F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39A191B9" w14:textId="11A72487" w:rsidR="006377FE" w:rsidRPr="00B12CA4" w:rsidRDefault="006377FE" w:rsidP="00B12CA4">
      <w:pPr>
        <w:pStyle w:val="Sarakstarindkopa"/>
        <w:numPr>
          <w:ilvl w:val="2"/>
          <w:numId w:val="5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B12CA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Ten</w:t>
      </w:r>
      <w:r w:rsidR="00033364" w:rsidRPr="00B12CA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u</w:t>
      </w:r>
      <w:r w:rsidRPr="00B12CA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r</w:t>
      </w:r>
      <w:r w:rsidR="00DB416E" w:rsidRPr="00B12CA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</w:t>
      </w:r>
      <w:proofErr w:type="spellEnd"/>
      <w:r w:rsidR="0076262B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22C9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darba grupa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36D7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no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vērtē </w:t>
      </w:r>
      <w:r w:rsidR="00B36D7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iesniegtās tēmas </w:t>
      </w:r>
      <w:r w:rsidR="002D46C0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 </w:t>
      </w:r>
      <w:r w:rsidR="00AD0D25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pētījumu virzien</w:t>
      </w:r>
      <w:r w:rsidR="002D46C0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B36D7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, aktualitāti</w:t>
      </w:r>
      <w:r w:rsidR="00F5629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B36D7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attīstības potenciālu</w:t>
      </w:r>
      <w:r w:rsidR="00F5629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BC1B29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iespējamo </w:t>
      </w:r>
      <w:r w:rsidR="00FF0D09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dublēšanos </w:t>
      </w:r>
      <w:r w:rsidR="006B7228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ar līdzīgām tēmām</w:t>
      </w:r>
      <w:r w:rsidR="006F5FE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, kā arī atbilstību 3.4.1 punktā minētajām prasībām</w:t>
      </w:r>
      <w:r w:rsidR="0009193A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FF0D09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FF0D09" w:rsidRPr="00B12CA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Tenure</w:t>
      </w:r>
      <w:proofErr w:type="spellEnd"/>
      <w:r w:rsidR="00FF0D09" w:rsidRPr="00B12CA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FF0D09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darba grupai ir tiesības pieprasīt papildu informāciju un skaidrojumu par tēmas vai pētījumu virziena izvēli noteicošajiem faktoriem un lūgt to precizēt;</w:t>
      </w:r>
    </w:p>
    <w:p w14:paraId="06602C92" w14:textId="70BB8FF5" w:rsidR="00E41934" w:rsidRPr="00B12CA4" w:rsidRDefault="0098182A" w:rsidP="00B12CA4">
      <w:pPr>
        <w:pStyle w:val="Sarakstarindkopa"/>
        <w:numPr>
          <w:ilvl w:val="2"/>
          <w:numId w:val="5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3" w:name="_Hlk86059351"/>
      <w:proofErr w:type="spellStart"/>
      <w:r w:rsidRPr="00B12CA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Ten</w:t>
      </w:r>
      <w:r w:rsidR="00033364" w:rsidRPr="00B12CA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u</w:t>
      </w:r>
      <w:r w:rsidRPr="00B12CA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r</w:t>
      </w:r>
      <w:r w:rsidR="00DB416E" w:rsidRPr="00B12CA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</w:t>
      </w:r>
      <w:proofErr w:type="spellEnd"/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22C9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darba grupa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informē RTU rektoru par </w:t>
      </w:r>
      <w:r w:rsidR="006F5FE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saskaņotajām 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tēmām un </w:t>
      </w:r>
      <w:r w:rsidR="002D46C0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pētījumu virzieniem 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un attiecīgi</w:t>
      </w:r>
      <w:r w:rsidR="00BC0D0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801C9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="001B3AD9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F5FE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saskaņotajiem </w:t>
      </w:r>
      <w:r w:rsidR="001B3AD9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pieteikumiem 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pastāvīgā</w:t>
      </w:r>
      <w:r w:rsidR="0076262B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 </w:t>
      </w:r>
      <w:proofErr w:type="spellStart"/>
      <w:r w:rsidR="00FD3462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tenūr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profesora</w:t>
      </w:r>
      <w:proofErr w:type="spellEnd"/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amatu viet</w:t>
      </w:r>
      <w:r w:rsidR="001B3AD9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u izveidošanai</w:t>
      </w:r>
      <w:r w:rsidR="00E41934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329A7FA8" w14:textId="077863C9" w:rsidR="00940088" w:rsidRPr="00B12CA4" w:rsidRDefault="00E41934" w:rsidP="00B12CA4">
      <w:pPr>
        <w:pStyle w:val="Sarakstarindkopa"/>
        <w:numPr>
          <w:ilvl w:val="2"/>
          <w:numId w:val="5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RTU rektors iesniedz </w:t>
      </w:r>
      <w:r w:rsidR="001B3AD9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RTU 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Senātam ierosinājumu par konkursa izsludināšanu uz </w:t>
      </w:r>
      <w:proofErr w:type="spellStart"/>
      <w:r w:rsidR="00FD3462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tenūr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profesoru</w:t>
      </w:r>
      <w:proofErr w:type="spellEnd"/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amat</w:t>
      </w:r>
      <w:r w:rsidR="00FD3462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vietām</w:t>
      </w:r>
      <w:r w:rsidR="00FF0D09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</w:p>
    <w:p w14:paraId="098B32AF" w14:textId="1D7E5D7A" w:rsidR="006F5FEC" w:rsidRDefault="00E41934" w:rsidP="00B12CA4">
      <w:pPr>
        <w:pStyle w:val="Sarakstarindkopa"/>
        <w:numPr>
          <w:ilvl w:val="2"/>
          <w:numId w:val="5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RTU Senāts pieņem lēmumu par konkursa izsludināšanu</w:t>
      </w:r>
      <w:r w:rsidR="006F5FE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13D4D01D" w14:textId="2B0CD56A" w:rsidR="005E7C53" w:rsidRDefault="005E7C53" w:rsidP="005E7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6641E19" w14:textId="77777777" w:rsidR="005E7C53" w:rsidRPr="005E7C53" w:rsidRDefault="005E7C53" w:rsidP="005E7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015C118" w14:textId="77777777" w:rsidR="00ED2807" w:rsidRPr="00ED2807" w:rsidRDefault="00ED2807" w:rsidP="00ED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bookmarkEnd w:id="3"/>
    <w:p w14:paraId="287A671E" w14:textId="77777777" w:rsidR="007524ED" w:rsidRPr="00B12CA4" w:rsidRDefault="007524ED" w:rsidP="00B1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7FCC1C70" w14:textId="7B48AB32" w:rsidR="00BE1648" w:rsidRPr="00ED2807" w:rsidRDefault="00FD3462" w:rsidP="00ED2807">
      <w:pPr>
        <w:pStyle w:val="Sarakstarindkop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K</w:t>
      </w:r>
      <w:r w:rsidR="00D536B3" w:rsidRPr="00B12CA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onkursa izsludināšana</w:t>
      </w:r>
      <w:r w:rsidRPr="00B12CA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s kārtība uz </w:t>
      </w:r>
      <w:proofErr w:type="spellStart"/>
      <w:r w:rsidRPr="00B12CA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tenūrprofesora</w:t>
      </w:r>
      <w:proofErr w:type="spellEnd"/>
      <w:r w:rsidRPr="00B12CA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vakanto amata vietu</w:t>
      </w:r>
    </w:p>
    <w:p w14:paraId="546BE168" w14:textId="70BC2EEF" w:rsidR="00BE1648" w:rsidRPr="00B12CA4" w:rsidRDefault="00FD3462" w:rsidP="00B12CA4">
      <w:pPr>
        <w:pStyle w:val="Sarakstarindkopa"/>
        <w:numPr>
          <w:ilvl w:val="1"/>
          <w:numId w:val="5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Pretendenti </w:t>
      </w:r>
      <w:r w:rsidR="009210F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vakantajā</w:t>
      </w:r>
      <w:r w:rsidR="002C074B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9210F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tenūr</w:t>
      </w:r>
      <w:r w:rsidR="009210F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profesor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proofErr w:type="spellEnd"/>
      <w:r w:rsidR="009210F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amata vietā</w:t>
      </w:r>
      <w:r w:rsidR="002C074B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 tiek </w:t>
      </w:r>
      <w:r w:rsidR="003D60FA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izvēlēti </w:t>
      </w:r>
      <w:r w:rsidR="009210F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atklāt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9210F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konkurs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9210F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(turpmāk tekstā – konkurss)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rezultātā</w:t>
      </w:r>
      <w:r w:rsidR="00AF36B1" w:rsidRPr="00B12CA4">
        <w:rPr>
          <w:rFonts w:ascii="Times New Roman" w:hAnsi="Times New Roman" w:cs="Times New Roman"/>
          <w:sz w:val="24"/>
          <w:szCs w:val="24"/>
        </w:rPr>
        <w:t>.</w:t>
      </w:r>
    </w:p>
    <w:p w14:paraId="49B34233" w14:textId="77777777" w:rsidR="00BE1648" w:rsidRPr="00B12CA4" w:rsidRDefault="00EB27DD" w:rsidP="00B12CA4">
      <w:pPr>
        <w:pStyle w:val="Sarakstarindkopa"/>
        <w:numPr>
          <w:ilvl w:val="1"/>
          <w:numId w:val="5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Konkursa izsludināšanu, pretendentu informēšanu, </w:t>
      </w:r>
      <w:r w:rsidR="00AF36B1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atbildes uz jautājumiem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D60FA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pieteikšanās laikā 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</w:t>
      </w:r>
      <w:r w:rsidR="00CF3DA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pretendentu 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iesniegto dokumentu atbilstības novērtēšanu </w:t>
      </w:r>
      <w:r w:rsidR="00FD3462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veic</w:t>
      </w:r>
      <w:r w:rsidR="00CF6360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F36B1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RTU 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Personāla nodaļa.</w:t>
      </w:r>
    </w:p>
    <w:p w14:paraId="7CFF7C2F" w14:textId="77777777" w:rsidR="00EB27DD" w:rsidRPr="00B12CA4" w:rsidRDefault="00EB27DD" w:rsidP="00B12CA4">
      <w:pPr>
        <w:pStyle w:val="Sarakstarindkopa"/>
        <w:numPr>
          <w:ilvl w:val="1"/>
          <w:numId w:val="5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Konkursu izsludina </w:t>
      </w:r>
      <w:r w:rsidR="00A84AD0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gan 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iekšēji RTU, </w:t>
      </w:r>
      <w:r w:rsidR="00A84AD0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gan 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ārēji – Latvijā un starptautiski.</w:t>
      </w:r>
    </w:p>
    <w:p w14:paraId="704C1939" w14:textId="1609019C" w:rsidR="00BE1648" w:rsidRPr="00B12CA4" w:rsidRDefault="00AF36B1" w:rsidP="00B12CA4">
      <w:pPr>
        <w:pStyle w:val="Sarakstarindkopa"/>
        <w:numPr>
          <w:ilvl w:val="1"/>
          <w:numId w:val="5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Konkursu izsludina l</w:t>
      </w:r>
      <w:r w:rsidR="00CF3DA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atviešu valodā vismaz vienā Latvijā izplatītā 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plašsaziņas</w:t>
      </w:r>
      <w:r w:rsidR="00CF3DA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līdzeklī, latviešu un angļu valodā 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="003D60FA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F3DA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RTU mājas lapā un sociālajos tīklos, angļu valodā 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– </w:t>
      </w:r>
      <w:proofErr w:type="spellStart"/>
      <w:r w:rsidR="00E61C6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Euraxess</w:t>
      </w:r>
      <w:proofErr w:type="spellEnd"/>
      <w:r w:rsidR="00534774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E61C6E" w:rsidRPr="00B12C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708D2E" w14:textId="728F83A7" w:rsidR="00CF3DAE" w:rsidRPr="00B12CA4" w:rsidRDefault="00AF36B1" w:rsidP="00B12CA4">
      <w:pPr>
        <w:pStyle w:val="Sarakstarindkopa"/>
        <w:numPr>
          <w:ilvl w:val="1"/>
          <w:numId w:val="5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Pēc k</w:t>
      </w:r>
      <w:r w:rsidR="00CF3DA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onkursa 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izsludināšanas</w:t>
      </w:r>
      <w:r w:rsidR="00CF3DA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pretendentiem </w:t>
      </w:r>
      <w:r w:rsidR="003318B7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 </w:t>
      </w:r>
      <w:proofErr w:type="spellStart"/>
      <w:r w:rsidR="003318B7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tenūrprofesora</w:t>
      </w:r>
      <w:proofErr w:type="spellEnd"/>
      <w:r w:rsidR="003318B7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amatu 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pieteikuma </w:t>
      </w:r>
      <w:r w:rsidR="00907639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dokument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907639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060B6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ir </w:t>
      </w:r>
      <w:r w:rsidR="0000516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jāiesniedz</w:t>
      </w:r>
      <w:r w:rsidR="00907639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2391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907639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="0082391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četr</w:t>
      </w:r>
      <w:r w:rsidR="0000516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907639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</w:t>
      </w:r>
      <w:r w:rsidR="0082391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nedēļ</w:t>
      </w:r>
      <w:r w:rsidR="0000516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u laikā</w:t>
      </w:r>
      <w:r w:rsidR="00907639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22E4DFBA" w14:textId="77777777" w:rsidR="004D0A9B" w:rsidRPr="00B12CA4" w:rsidRDefault="004668D4" w:rsidP="00B12CA4">
      <w:pPr>
        <w:pStyle w:val="Sarakstarindkopa"/>
        <w:numPr>
          <w:ilvl w:val="1"/>
          <w:numId w:val="5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Pretendent</w:t>
      </w:r>
      <w:r w:rsidR="0000516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am</w:t>
      </w:r>
      <w:r w:rsidR="005060B6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, piesakoties konkursā,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060B6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ir </w:t>
      </w:r>
      <w:r w:rsidR="0000516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iesniedz</w:t>
      </w:r>
      <w:r w:rsidR="004D0A9B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41679705" w14:textId="77777777" w:rsidR="004A56FD" w:rsidRPr="00B12CA4" w:rsidRDefault="004A56FD" w:rsidP="00B12CA4">
      <w:pPr>
        <w:pStyle w:val="Sarakstarindkopa"/>
        <w:numPr>
          <w:ilvl w:val="2"/>
          <w:numId w:val="5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RTU rektoram adresēt</w:t>
      </w:r>
      <w:r w:rsidR="0000516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pieteikum</w:t>
      </w:r>
      <w:r w:rsidR="0000516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piedalīšanos konkursā;</w:t>
      </w:r>
    </w:p>
    <w:p w14:paraId="3E197A5A" w14:textId="77777777" w:rsidR="004A56FD" w:rsidRPr="00B12CA4" w:rsidRDefault="008F625D" w:rsidP="00B12CA4">
      <w:pPr>
        <w:pStyle w:val="Sarakstarindkopa"/>
        <w:numPr>
          <w:ilvl w:val="2"/>
          <w:numId w:val="5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m</w:t>
      </w:r>
      <w:r w:rsidR="004A56F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otivācijas vēstul</w:t>
      </w:r>
      <w:r w:rsidR="0000516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e (ne vairāk kā 1800 rakstu zīmes)</w:t>
      </w:r>
      <w:r w:rsidR="0082391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, kurā ietverts redzējums par sasniedzamajiem mērķiem</w:t>
      </w:r>
      <w:r w:rsidR="004A56F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727798DF" w14:textId="77777777" w:rsidR="004A60BC" w:rsidRPr="00B12CA4" w:rsidRDefault="008F625D" w:rsidP="00B12CA4">
      <w:pPr>
        <w:pStyle w:val="Sarakstarindkopa"/>
        <w:numPr>
          <w:ilvl w:val="2"/>
          <w:numId w:val="5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8C4439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ētniecības plān</w:t>
      </w:r>
      <w:r w:rsidR="0000516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8C4439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C63F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turpmākajiem</w:t>
      </w:r>
      <w:r w:rsidR="008C4439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6</w:t>
      </w:r>
      <w:r w:rsidR="001C63F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(sešiem)</w:t>
      </w:r>
      <w:r w:rsidR="008C4439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gadiem;</w:t>
      </w:r>
    </w:p>
    <w:p w14:paraId="71309C78" w14:textId="77777777" w:rsidR="00111247" w:rsidRPr="00B12CA4" w:rsidRDefault="008F625D" w:rsidP="00B12CA4">
      <w:pPr>
        <w:pStyle w:val="Sarakstarindkopa"/>
        <w:numPr>
          <w:ilvl w:val="2"/>
          <w:numId w:val="5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4A56F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retendenta dzīves un darba gājum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4A56F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aprakst</w:t>
      </w:r>
      <w:r w:rsidR="0000516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A56F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="004A56FD" w:rsidRPr="00B12CA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Curriculum Vitae</w:t>
      </w:r>
      <w:r w:rsidR="004A56F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), kurā norādīta zinātniskā, pedagoģiskā un organizatoriskā darba pieredze</w:t>
      </w:r>
      <w:r w:rsidR="007B4694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, kvalifikācijas paaugstināšanas</w:t>
      </w:r>
      <w:r w:rsidR="00001289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(profesionālās attīstības)</w:t>
      </w:r>
      <w:r w:rsidR="007B4694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36C38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aktivitātes, </w:t>
      </w:r>
      <w:r w:rsidR="0000516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pēdējo 6 (sešu) gadu laikā </w:t>
      </w:r>
      <w:r w:rsidR="004A56F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publicēto darbu saraksts </w:t>
      </w:r>
      <w:r w:rsidR="00111247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atbilstoši</w:t>
      </w:r>
      <w:r w:rsidR="001F6F92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paraugam</w:t>
      </w:r>
      <w:r w:rsidR="00111247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RTU CV sistēm</w:t>
      </w:r>
      <w:r w:rsidR="001F6F92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="00111247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, kā arī cit</w:t>
      </w:r>
      <w:r w:rsidR="0000516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111247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dokument</w:t>
      </w:r>
      <w:r w:rsidR="0000516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111247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informācij</w:t>
      </w:r>
      <w:r w:rsidR="0000516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111247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, kuru pretendents vēlas pievienot pieteikumam, lai pilnīgāk raksturotu savu kvalifikāciju</w:t>
      </w:r>
      <w:r w:rsidR="005060B6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atbilstību prasībām</w:t>
      </w:r>
      <w:r w:rsidR="00111247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  <w:r w:rsidR="0000516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70EF925D" w14:textId="77777777" w:rsidR="002D2B61" w:rsidRPr="00B12CA4" w:rsidRDefault="008F625D" w:rsidP="00B12CA4">
      <w:pPr>
        <w:pStyle w:val="Sarakstarindkopa"/>
        <w:numPr>
          <w:ilvl w:val="2"/>
          <w:numId w:val="5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z</w:t>
      </w:r>
      <w:r w:rsidR="00C92326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inātnisko un akadēmisko grādu apliecinošo dokumentu kopijas</w:t>
      </w:r>
      <w:r w:rsidR="00E61C6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31CEF3D8" w14:textId="2F0A7B48" w:rsidR="006132E9" w:rsidRPr="00B12CA4" w:rsidRDefault="008F625D" w:rsidP="00B12CA4">
      <w:pPr>
        <w:pStyle w:val="Sarakstarindkopa"/>
        <w:numPr>
          <w:ilvl w:val="2"/>
          <w:numId w:val="5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="002D2B61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rvalstu pretendentiem, ja studiju programma</w:t>
      </w:r>
      <w:r w:rsidR="00EB5A35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kurā </w:t>
      </w:r>
      <w:proofErr w:type="spellStart"/>
      <w:r w:rsidR="00FD3462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tenūr</w:t>
      </w:r>
      <w:r w:rsidR="00534774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EB5A35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rofesors</w:t>
      </w:r>
      <w:proofErr w:type="spellEnd"/>
      <w:r w:rsidR="00EB5A35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tiks iesaistīts,</w:t>
      </w:r>
      <w:r w:rsidR="002D2B61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tiek īstenota valsts valodā</w:t>
      </w:r>
      <w:r w:rsidR="00665C8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un/vai citu darba pienākumu veikšanai ir nepieciešamas valsts valodas zināšanas</w:t>
      </w:r>
      <w:r w:rsidR="0000516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 – valsts valodas prasmi apliecinošs dokuments saskaņā ar Valsts valodas likumu</w:t>
      </w:r>
      <w:r w:rsidR="00BE1219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B120CA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Citos gadījumos p</w:t>
      </w:r>
      <w:r w:rsidR="00BE1219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retend</w:t>
      </w:r>
      <w:r w:rsidR="0019612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en</w:t>
      </w:r>
      <w:r w:rsidR="00BE1219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ts apņemas valsts valod</w:t>
      </w:r>
      <w:r w:rsidR="00550506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as </w:t>
      </w:r>
      <w:proofErr w:type="spellStart"/>
      <w:r w:rsidR="00550506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pamatprasmes</w:t>
      </w:r>
      <w:proofErr w:type="spellEnd"/>
      <w:r w:rsidR="00550506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E1219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apgūt pirmā gada laikā</w:t>
      </w:r>
      <w:r w:rsidR="00550506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strādājot </w:t>
      </w:r>
      <w:proofErr w:type="spellStart"/>
      <w:r w:rsidR="001F787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tenūr</w:t>
      </w:r>
      <w:r w:rsidR="0019612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profesora</w:t>
      </w:r>
      <w:proofErr w:type="spellEnd"/>
      <w:r w:rsidR="0019612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amatā RTU;</w:t>
      </w:r>
    </w:p>
    <w:p w14:paraId="6B6D7B42" w14:textId="77777777" w:rsidR="00EF2076" w:rsidRPr="00B12CA4" w:rsidRDefault="008F625D" w:rsidP="00B12CA4">
      <w:pPr>
        <w:pStyle w:val="Sarakstarindkopa"/>
        <w:numPr>
          <w:ilvl w:val="2"/>
          <w:numId w:val="5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9E5815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pliecinājum</w:t>
      </w:r>
      <w:r w:rsidR="0000516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9E5815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ja </w:t>
      </w:r>
      <w:r w:rsidR="002A1C5F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tādi </w:t>
      </w:r>
      <w:r w:rsidR="009E5815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ir, par darba novērtējumu iepriekšējā periodā, t.</w:t>
      </w:r>
      <w:r w:rsidR="00652C6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E5815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sk.</w:t>
      </w:r>
      <w:r w:rsidR="00531525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="009E5815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621E925A" w14:textId="77777777" w:rsidR="00EF2076" w:rsidRPr="00B12CA4" w:rsidRDefault="009E5815" w:rsidP="00B12CA4">
      <w:pPr>
        <w:pStyle w:val="Sarakstarindkopa"/>
        <w:numPr>
          <w:ilvl w:val="0"/>
          <w:numId w:val="36"/>
        </w:numPr>
        <w:spacing w:after="0" w:line="240" w:lineRule="auto"/>
        <w:ind w:left="198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rekomendācijas vai atsauksmes no sadarbības partneriem, darba devējiem</w:t>
      </w:r>
      <w:r w:rsidR="00531525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profesionālajām asociācijām, kurā darbo</w:t>
      </w:r>
      <w:r w:rsidR="00EF2076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j</w:t>
      </w:r>
      <w:r w:rsidR="002A1C5F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ie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EF2076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darbojas</w:t>
      </w:r>
      <w:r w:rsidR="002A1C5F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pretendents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</w:p>
    <w:p w14:paraId="49E17ECE" w14:textId="77777777" w:rsidR="00EF2076" w:rsidRPr="00B12CA4" w:rsidRDefault="009E5815" w:rsidP="00B12CA4">
      <w:pPr>
        <w:pStyle w:val="Sarakstarindkopa"/>
        <w:numPr>
          <w:ilvl w:val="0"/>
          <w:numId w:val="36"/>
        </w:numPr>
        <w:spacing w:after="0" w:line="240" w:lineRule="auto"/>
        <w:ind w:left="198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darba rezultātu apkopojum</w:t>
      </w:r>
      <w:r w:rsidR="002A1C5F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sasniegum</w:t>
      </w:r>
      <w:r w:rsidR="0019612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aprakst</w:t>
      </w:r>
      <w:r w:rsidR="002A1C5F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zinātniskajā, pedagoģiskajā un organizatoriskajā darbā</w:t>
      </w:r>
      <w:r w:rsidR="008F4CEF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atbilstoši nolikuma 5. </w:t>
      </w:r>
      <w:r w:rsidR="005060B6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sadaļā norādītajiem</w:t>
      </w:r>
      <w:r w:rsidR="008F4CEF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kvalifikācijas novērtēšanas kritērijiem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</w:p>
    <w:p w14:paraId="6ACA8531" w14:textId="77777777" w:rsidR="00EF2076" w:rsidRPr="00B12CA4" w:rsidRDefault="009E5815" w:rsidP="00B12CA4">
      <w:pPr>
        <w:pStyle w:val="Sarakstarindkopa"/>
        <w:numPr>
          <w:ilvl w:val="0"/>
          <w:numId w:val="36"/>
        </w:numPr>
        <w:spacing w:after="0" w:line="240" w:lineRule="auto"/>
        <w:ind w:left="198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studējošo aptauju rezultāt</w:t>
      </w:r>
      <w:r w:rsidR="002A1C5F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pedagoģiskā darba kvalitāti, </w:t>
      </w:r>
    </w:p>
    <w:p w14:paraId="76649944" w14:textId="77777777" w:rsidR="009E5815" w:rsidRPr="00B12CA4" w:rsidRDefault="002A1C5F" w:rsidP="00B12CA4">
      <w:pPr>
        <w:pStyle w:val="Sarakstarindkopa"/>
        <w:numPr>
          <w:ilvl w:val="0"/>
          <w:numId w:val="36"/>
        </w:numPr>
        <w:spacing w:after="0" w:line="240" w:lineRule="auto"/>
        <w:ind w:left="198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informācija par </w:t>
      </w:r>
      <w:r w:rsidR="009E5815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atzinīb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ām</w:t>
      </w:r>
      <w:r w:rsidR="004A60B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</w:t>
      </w:r>
      <w:r w:rsidR="009E5815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apbalvojum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iem</w:t>
      </w:r>
      <w:r w:rsidR="009E5815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u.</w:t>
      </w:r>
      <w:r w:rsidR="008F625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E5815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tml.</w:t>
      </w:r>
    </w:p>
    <w:p w14:paraId="0C58B846" w14:textId="77777777" w:rsidR="00907639" w:rsidRPr="00B12CA4" w:rsidRDefault="00A24D92" w:rsidP="00B12CA4">
      <w:pPr>
        <w:pStyle w:val="Sarakstarindkopa"/>
        <w:numPr>
          <w:ilvl w:val="1"/>
          <w:numId w:val="5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Personāla nodaļa </w:t>
      </w:r>
      <w:r w:rsidR="003C2FE7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reģistrē pieteikumus un 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novērtē</w:t>
      </w:r>
      <w:r w:rsidR="00156103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42A1FE91" w14:textId="77777777" w:rsidR="00156103" w:rsidRPr="00B12CA4" w:rsidRDefault="008F625D" w:rsidP="00B12CA4">
      <w:pPr>
        <w:pStyle w:val="Sarakstarindkopa"/>
        <w:numPr>
          <w:ilvl w:val="2"/>
          <w:numId w:val="5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70191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esniegto dokumentu</w:t>
      </w:r>
      <w:r w:rsidR="001271F3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</w:t>
      </w:r>
      <w:r w:rsidR="0070191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to satura atbilstību konkursā pieprasīto dokumentu sarakstam;</w:t>
      </w:r>
    </w:p>
    <w:p w14:paraId="5BAFCFCC" w14:textId="77777777" w:rsidR="0070191C" w:rsidRPr="00B12CA4" w:rsidRDefault="008F625D" w:rsidP="00B12CA4">
      <w:pPr>
        <w:pStyle w:val="Sarakstarindkopa"/>
        <w:numPr>
          <w:ilvl w:val="2"/>
          <w:numId w:val="5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70191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retendenta atbilstību </w:t>
      </w:r>
      <w:r w:rsidR="00335822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obligātajām</w:t>
      </w:r>
      <w:r w:rsidR="001271F3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B2DB4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kvalifikācijas </w:t>
      </w:r>
      <w:r w:rsidR="001271F3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prasībām</w:t>
      </w:r>
      <w:r w:rsidR="0070191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, kas norādīt</w:t>
      </w:r>
      <w:r w:rsidR="007E13D2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as</w:t>
      </w:r>
      <w:r w:rsidR="0070191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nolikuma </w:t>
      </w:r>
      <w:r w:rsidR="00DD19FA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70191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DD19FA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 sadaļā</w:t>
      </w:r>
      <w:r w:rsidR="0070191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02C3BE1F" w14:textId="6311AE99" w:rsidR="0070191C" w:rsidRPr="00B12CA4" w:rsidRDefault="0070191C" w:rsidP="00B12CA4">
      <w:pPr>
        <w:pStyle w:val="Sarakstarindkopa"/>
        <w:numPr>
          <w:ilvl w:val="1"/>
          <w:numId w:val="5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Personāla nodaļai ir tiesības pieprasīt pretendentiem </w:t>
      </w:r>
      <w:r w:rsidR="00392F2B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novērst nepilnības </w:t>
      </w:r>
      <w:r w:rsidR="00121EC0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iesniegtajos 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dokument</w:t>
      </w:r>
      <w:r w:rsidR="00392F2B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o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s, konsultējoties ar tās fakultātes </w:t>
      </w:r>
      <w:r w:rsidR="00652C6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ekānu, kura struktūrvienībā izveidotajai </w:t>
      </w:r>
      <w:proofErr w:type="spellStart"/>
      <w:r w:rsidR="00FD3462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tenūr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profesora</w:t>
      </w:r>
      <w:proofErr w:type="spellEnd"/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amata vietai konkrētais pretendents ir pieteicies.</w:t>
      </w:r>
    </w:p>
    <w:p w14:paraId="2A616C27" w14:textId="2FEB5401" w:rsidR="00C541B3" w:rsidRPr="00B12CA4" w:rsidRDefault="00C541B3" w:rsidP="00B12CA4">
      <w:pPr>
        <w:pStyle w:val="Sarakstarindkopa"/>
        <w:numPr>
          <w:ilvl w:val="1"/>
          <w:numId w:val="5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 pretendenta iesniegtie dokumenti neatbilst konkursa prasībām un/vai pretendents neatbilst </w:t>
      </w:r>
      <w:r w:rsidR="00335822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obligātajām</w:t>
      </w:r>
      <w:r w:rsidR="00013092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E13D2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kvalifikācijas </w:t>
      </w:r>
      <w:r w:rsidR="00013092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prasībām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121EC0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pretendents saņem </w:t>
      </w:r>
      <w:r w:rsidR="00296B1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pamatotu </w:t>
      </w:r>
      <w:r w:rsidR="00121EC0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atteikumu</w:t>
      </w:r>
      <w:r w:rsidR="00534774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121EC0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767ED32F" w14:textId="720275D0" w:rsidR="00900F20" w:rsidRPr="00B12CA4" w:rsidRDefault="008E0EAD" w:rsidP="00B12CA4">
      <w:pPr>
        <w:pStyle w:val="Sarakstarindkopa"/>
        <w:numPr>
          <w:ilvl w:val="1"/>
          <w:numId w:val="5"/>
        </w:numPr>
        <w:spacing w:after="0" w:line="240" w:lineRule="auto"/>
        <w:ind w:left="709" w:hanging="56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Pretendenti, kuru </w:t>
      </w:r>
      <w:r w:rsidR="00826640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administratīvā 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atbilstība</w:t>
      </w:r>
      <w:r w:rsidR="002F18CA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konkursa prasībām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novērtēta pozitīvi</w:t>
      </w:r>
      <w:r w:rsidR="002F18CA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saņem uzaicinājumu </w:t>
      </w:r>
      <w:r w:rsidR="00900F20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piedalīties konkursā uz ievēlēšanu </w:t>
      </w:r>
      <w:proofErr w:type="spellStart"/>
      <w:r w:rsidR="00900F20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ternūrprofesora</w:t>
      </w:r>
      <w:proofErr w:type="spellEnd"/>
      <w:r w:rsidR="00900F20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amatā.</w:t>
      </w:r>
    </w:p>
    <w:p w14:paraId="7A7899B2" w14:textId="636EA964" w:rsidR="00D131C7" w:rsidRPr="00B12CA4" w:rsidRDefault="002F18CA" w:rsidP="00B12CA4">
      <w:pPr>
        <w:pStyle w:val="Sarakstarindkopa"/>
        <w:numPr>
          <w:ilvl w:val="1"/>
          <w:numId w:val="5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Pirms pretendentu informēšanas </w:t>
      </w:r>
      <w:r w:rsidR="006C2B2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ersonāla nodaļas atbildīgā persona informē </w:t>
      </w:r>
      <w:proofErr w:type="spellStart"/>
      <w:r w:rsidRPr="00B12CA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Ten</w:t>
      </w:r>
      <w:r w:rsidR="00033364" w:rsidRPr="00B12CA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u</w:t>
      </w:r>
      <w:r w:rsidRPr="00B12CA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r</w:t>
      </w:r>
      <w:r w:rsidR="00DB416E" w:rsidRPr="00B12CA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</w:t>
      </w:r>
      <w:proofErr w:type="spellEnd"/>
      <w:r w:rsidR="004D760C" w:rsidRPr="00B12CA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4D760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darba grupu</w:t>
      </w:r>
      <w:r w:rsidR="00121EC0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attiecīgās fakultātes </w:t>
      </w:r>
      <w:r w:rsidR="00296B1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dekānu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pretendentu piesaistīšanas rezultātiem.</w:t>
      </w:r>
      <w:r w:rsidRPr="00B12CA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Pr="00B12CA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Ten</w:t>
      </w:r>
      <w:r w:rsidR="00033364" w:rsidRPr="00B12CA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u</w:t>
      </w:r>
      <w:r w:rsidRPr="00B12CA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r</w:t>
      </w:r>
      <w:r w:rsidR="00DB416E" w:rsidRPr="00B12CA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</w:t>
      </w:r>
      <w:proofErr w:type="spellEnd"/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22C9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darba grupa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apstiprina </w:t>
      </w:r>
      <w:r w:rsidR="00FD3462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atlasīto 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pretendentu sarakstu tālākai virzīšana</w:t>
      </w:r>
      <w:r w:rsidR="00121EC0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D131C7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7FAD49F4" w14:textId="77777777" w:rsidR="002F18CA" w:rsidRPr="00B12CA4" w:rsidRDefault="00EA5EBD" w:rsidP="00B12CA4">
      <w:pPr>
        <w:pStyle w:val="Sarakstarindkopa"/>
        <w:numPr>
          <w:ilvl w:val="1"/>
          <w:numId w:val="5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D131C7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retendentu atbilstības novērtēšana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D131C7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r w:rsidR="00FD3462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atlasīto </w:t>
      </w:r>
      <w:r w:rsidR="00F96713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pretendentu saraksta </w:t>
      </w:r>
      <w:r w:rsidR="00D131C7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apsti</w:t>
      </w:r>
      <w:r w:rsidR="00033364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7B5E4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r</w:t>
      </w:r>
      <w:r w:rsidR="00D131C7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ināš</w:t>
      </w:r>
      <w:r w:rsidR="007B5E4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D131C7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na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 termiņš </w:t>
      </w:r>
      <w:r w:rsidR="00D131C7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ir 4 (četras) nedēļas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pēc pieteikumu iesniegšanas </w:t>
      </w:r>
      <w:r w:rsidR="0027350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datuma</w:t>
      </w:r>
      <w:r w:rsidR="00D131C7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826640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35FB256E" w14:textId="77777777" w:rsidR="00CF3DAE" w:rsidRPr="00B12CA4" w:rsidRDefault="00CF3DAE" w:rsidP="00B12CA4">
      <w:pPr>
        <w:pStyle w:val="Sarakstarindkopa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47A1499" w14:textId="6D9C85C3" w:rsidR="004D0A9B" w:rsidRPr="00ED2807" w:rsidRDefault="00121EC0" w:rsidP="00ED2807">
      <w:pPr>
        <w:pStyle w:val="Sarakstarindkop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Prasības </w:t>
      </w:r>
      <w:proofErr w:type="spellStart"/>
      <w:r w:rsidR="00F66FEB" w:rsidRPr="00B12CA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tenūr</w:t>
      </w:r>
      <w:r w:rsidRPr="00B12CA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profesora</w:t>
      </w:r>
      <w:proofErr w:type="spellEnd"/>
      <w:r w:rsidRPr="00B12CA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amata pretendentiem</w:t>
      </w:r>
    </w:p>
    <w:p w14:paraId="4A74FD09" w14:textId="05A28000" w:rsidR="00387846" w:rsidRPr="00B12CA4" w:rsidRDefault="004636B6" w:rsidP="00B12CA4">
      <w:pPr>
        <w:pStyle w:val="Sarakstarindkopa"/>
        <w:numPr>
          <w:ilvl w:val="1"/>
          <w:numId w:val="5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 </w:t>
      </w:r>
      <w:proofErr w:type="spellStart"/>
      <w:r w:rsidR="00B31D60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tenūr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profesora</w:t>
      </w:r>
      <w:proofErr w:type="spellEnd"/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amata vietu var pretendēt persona ar </w:t>
      </w:r>
      <w:r w:rsidR="00652C6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zināt</w:t>
      </w:r>
      <w:r w:rsidR="00D073F5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ņu</w:t>
      </w:r>
      <w:r w:rsidR="00652C6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doktora grādu, vismaz 3 (trīs) gadu darba pieredzi asociētā profesora vai profesora amatā un savā nozarē starptautiski atzīt</w:t>
      </w:r>
      <w:r w:rsidR="00E00494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 </w:t>
      </w:r>
      <w:r w:rsidR="005B0DB5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pieredzi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E00494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veic mūsdienu līmenim atbilstošu zinātniskās pētniecības darbu un nodrošina augstas kvalitātes studijas attiecīgajā zinātnes nozarē.</w:t>
      </w:r>
    </w:p>
    <w:p w14:paraId="051C18BE" w14:textId="06B9CE56" w:rsidR="00387846" w:rsidRPr="00B12CA4" w:rsidRDefault="00F66FEB" w:rsidP="00B12CA4">
      <w:pPr>
        <w:pStyle w:val="Sarakstarindkopa"/>
        <w:numPr>
          <w:ilvl w:val="1"/>
          <w:numId w:val="5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Tenūr</w:t>
      </w:r>
      <w:r w:rsidR="00341A40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profesora</w:t>
      </w:r>
      <w:proofErr w:type="spellEnd"/>
      <w:r w:rsidR="00341A40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amata pretendent</w:t>
      </w:r>
      <w:r w:rsidR="00CF32B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a sniegumam</w:t>
      </w:r>
      <w:r w:rsidR="00341A40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00494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ir </w:t>
      </w:r>
      <w:r w:rsidR="00CF32B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jāatbilst</w:t>
      </w:r>
      <w:r w:rsidR="00341A40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52C6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nolikuma 1.</w:t>
      </w:r>
      <w:r w:rsidR="00D073F5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341A40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pielikumā noteiktajām prasībām</w:t>
      </w:r>
      <w:r w:rsidR="00E00494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21EDD5AA" w14:textId="44DAFF91" w:rsidR="00341A40" w:rsidRPr="00B12CA4" w:rsidRDefault="00A24A77" w:rsidP="00B12CA4">
      <w:pPr>
        <w:pStyle w:val="Sarakstarindkopa"/>
        <w:numPr>
          <w:ilvl w:val="1"/>
          <w:numId w:val="5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Izsludinot konkursu, </w:t>
      </w:r>
      <w:r w:rsidR="00652C6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nolikuma 1. 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pielikumā noteiktās prasības var tikt</w:t>
      </w:r>
      <w:r w:rsidR="00E72B79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pielāgotas</w:t>
      </w:r>
      <w:r w:rsidR="007B5E4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zinātņu nozares vai </w:t>
      </w:r>
      <w:proofErr w:type="spellStart"/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apakšnozares</w:t>
      </w:r>
      <w:proofErr w:type="spellEnd"/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specifikai</w:t>
      </w:r>
      <w:r w:rsidR="00255BB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mainot </w:t>
      </w:r>
      <w:r w:rsidR="00F96713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minimālo prasību apjomu</w:t>
      </w:r>
      <w:r w:rsidR="00255BB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un/vai pievienojot papildu vērtējamos </w:t>
      </w:r>
      <w:r w:rsidR="00B31D60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kritērijus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EC1BCA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E05C2" w:rsidRPr="00B12CA4">
        <w:rPr>
          <w:rFonts w:ascii="Times New Roman" w:hAnsi="Times New Roman" w:cs="Times New Roman"/>
          <w:sz w:val="24"/>
          <w:szCs w:val="24"/>
          <w:lang w:eastAsia="lv-LV"/>
        </w:rPr>
        <w:t xml:space="preserve"> Šādas izmaiņas var rosināt fakultātes dekāns, to saskaņojot ar </w:t>
      </w:r>
      <w:proofErr w:type="spellStart"/>
      <w:r w:rsidR="008E05C2" w:rsidRPr="00B12CA4">
        <w:rPr>
          <w:rFonts w:ascii="Times New Roman" w:hAnsi="Times New Roman" w:cs="Times New Roman"/>
          <w:i/>
          <w:sz w:val="24"/>
          <w:szCs w:val="24"/>
          <w:lang w:eastAsia="lv-LV"/>
        </w:rPr>
        <w:t>Tenure</w:t>
      </w:r>
      <w:proofErr w:type="spellEnd"/>
      <w:r w:rsidR="008E05C2" w:rsidRPr="00B12CA4"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8E05C2" w:rsidRPr="00B12CA4">
        <w:rPr>
          <w:rFonts w:ascii="Times New Roman" w:hAnsi="Times New Roman" w:cs="Times New Roman"/>
          <w:sz w:val="24"/>
          <w:szCs w:val="24"/>
          <w:lang w:eastAsia="lv-LV"/>
        </w:rPr>
        <w:t>darba grupu. Saskaņotās izmaiņas apstiprina RTU rektors vai viņa pilnvarota persona.</w:t>
      </w:r>
    </w:p>
    <w:p w14:paraId="3C2AADC7" w14:textId="77777777" w:rsidR="008B129B" w:rsidRPr="00B12CA4" w:rsidRDefault="008B129B" w:rsidP="00B12CA4">
      <w:pPr>
        <w:pStyle w:val="Sarakstarindkopa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2D0A9F4" w14:textId="738D2388" w:rsidR="00377710" w:rsidRPr="00ED2807" w:rsidRDefault="00F66FEB" w:rsidP="00ED2807">
      <w:pPr>
        <w:pStyle w:val="Sarakstarindkop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4" w:name="_Hlk83142059"/>
      <w:proofErr w:type="spellStart"/>
      <w:r w:rsidRPr="00B12CA4">
        <w:rPr>
          <w:rFonts w:ascii="Times New Roman" w:hAnsi="Times New Roman" w:cs="Times New Roman"/>
          <w:b/>
          <w:sz w:val="24"/>
          <w:szCs w:val="24"/>
        </w:rPr>
        <w:t>Tenūr</w:t>
      </w:r>
      <w:r w:rsidR="00891B44" w:rsidRPr="00B12CA4">
        <w:rPr>
          <w:rFonts w:ascii="Times New Roman" w:hAnsi="Times New Roman" w:cs="Times New Roman"/>
          <w:b/>
          <w:sz w:val="24"/>
          <w:szCs w:val="24"/>
        </w:rPr>
        <w:t>profesora</w:t>
      </w:r>
      <w:proofErr w:type="spellEnd"/>
      <w:r w:rsidR="00891B44" w:rsidRPr="00B12C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B44" w:rsidRPr="00B12CA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amata </w:t>
      </w:r>
      <w:r w:rsidR="00D073F5" w:rsidRPr="00B12CA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</w:t>
      </w:r>
      <w:r w:rsidR="000C54C9" w:rsidRPr="00B12CA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retendentu vērtēšanas kritēriji </w:t>
      </w:r>
      <w:bookmarkEnd w:id="4"/>
    </w:p>
    <w:p w14:paraId="3A14C823" w14:textId="77777777" w:rsidR="00377710" w:rsidRPr="00B12CA4" w:rsidRDefault="00B87839" w:rsidP="00B12CA4">
      <w:pPr>
        <w:pStyle w:val="Sarakstarindkopa"/>
        <w:numPr>
          <w:ilvl w:val="1"/>
          <w:numId w:val="5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Ir noteikti šādi p</w:t>
      </w:r>
      <w:r w:rsidR="00751827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retendentu 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vērtēšanas</w:t>
      </w:r>
      <w:r w:rsidR="00751827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kritēriji:</w:t>
      </w:r>
    </w:p>
    <w:p w14:paraId="4A4EC007" w14:textId="77777777" w:rsidR="00751827" w:rsidRPr="00B12CA4" w:rsidRDefault="00C65517" w:rsidP="00B12CA4">
      <w:pPr>
        <w:pStyle w:val="Sarakstarindkopa"/>
        <w:numPr>
          <w:ilvl w:val="2"/>
          <w:numId w:val="5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="007E035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valifikācija</w:t>
      </w:r>
      <w:r w:rsidR="00974C85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7E035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sniegum</w:t>
      </w:r>
      <w:r w:rsidR="0032448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7E035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zinātniskajā</w:t>
      </w:r>
      <w:r w:rsidR="005D463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</w:t>
      </w:r>
      <w:r w:rsidR="007E035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D463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pedagoģiskajā </w:t>
      </w:r>
      <w:r w:rsidR="007E035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darbībā, </w:t>
      </w:r>
      <w:proofErr w:type="spellStart"/>
      <w:r w:rsidR="007E035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valorizācijā</w:t>
      </w:r>
      <w:proofErr w:type="spellEnd"/>
      <w:r w:rsidR="007E035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001289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organizatoriskajā darbībā un vadībā</w:t>
      </w:r>
      <w:r w:rsidR="00974C85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atbilstoši nolikuma 5. sadaļā </w:t>
      </w:r>
      <w:r w:rsidR="00B87839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noteiktajām prasībām un kvalifikācijas novērtēšanas </w:t>
      </w:r>
      <w:r w:rsidR="00974C85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kritērijiem;</w:t>
      </w:r>
    </w:p>
    <w:p w14:paraId="4A29BA2A" w14:textId="77777777" w:rsidR="001065DE" w:rsidRPr="00B12CA4" w:rsidRDefault="00652C6D" w:rsidP="00B12CA4">
      <w:pPr>
        <w:pStyle w:val="Sarakstarindkopa"/>
        <w:numPr>
          <w:ilvl w:val="2"/>
          <w:numId w:val="5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1065D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retendenta motivācija;</w:t>
      </w:r>
    </w:p>
    <w:p w14:paraId="3DD7AD22" w14:textId="77777777" w:rsidR="001065DE" w:rsidRPr="00B12CA4" w:rsidRDefault="00652C6D" w:rsidP="00B12CA4">
      <w:pPr>
        <w:pStyle w:val="Sarakstarindkopa"/>
        <w:numPr>
          <w:ilvl w:val="2"/>
          <w:numId w:val="5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1065D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retendenta </w:t>
      </w:r>
      <w:r w:rsidR="0084228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darbības </w:t>
      </w:r>
      <w:r w:rsidR="000D4A7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mērķi</w:t>
      </w:r>
      <w:r w:rsidR="0084228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0D4A7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redzējum</w:t>
      </w:r>
      <w:r w:rsidR="00974C85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0D4A7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attīstību</w:t>
      </w:r>
      <w:r w:rsidR="001C63F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r w:rsidR="0084228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paredzēto </w:t>
      </w:r>
      <w:r w:rsidR="000D4A7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ieguldījumu</w:t>
      </w:r>
      <w:r w:rsidR="004072F6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, t.sk. pētniecības plān</w:t>
      </w:r>
      <w:r w:rsidR="00974C85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4072F6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C63F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turpmāk</w:t>
      </w:r>
      <w:r w:rsidR="0084228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o</w:t>
      </w:r>
      <w:r w:rsidR="001C63F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6 (seš</w:t>
      </w:r>
      <w:r w:rsidR="0084228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1C63F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) gad</w:t>
      </w:r>
      <w:r w:rsidR="0084228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u laikā</w:t>
      </w:r>
      <w:r w:rsidR="001C63F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1619BCF5" w14:textId="77777777" w:rsidR="0084228D" w:rsidRPr="00B12CA4" w:rsidRDefault="0084228D" w:rsidP="00B12CA4">
      <w:pPr>
        <w:pStyle w:val="Sarakstarindkopa"/>
        <w:numPr>
          <w:ilvl w:val="2"/>
          <w:numId w:val="5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lekciju vadīšanas prasmes;</w:t>
      </w:r>
    </w:p>
    <w:p w14:paraId="7472C10B" w14:textId="77777777" w:rsidR="001C63FC" w:rsidRPr="00B12CA4" w:rsidRDefault="006A523E" w:rsidP="00B12CA4">
      <w:pPr>
        <w:pStyle w:val="Sarakstarindkopa"/>
        <w:numPr>
          <w:ilvl w:val="2"/>
          <w:numId w:val="5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="0019612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ompetences:</w:t>
      </w:r>
    </w:p>
    <w:p w14:paraId="7164AC1E" w14:textId="77777777" w:rsidR="001C63FC" w:rsidRPr="00B12CA4" w:rsidRDefault="006A523E" w:rsidP="00B12CA4">
      <w:pPr>
        <w:pStyle w:val="Sarakstarindkopa"/>
        <w:numPr>
          <w:ilvl w:val="3"/>
          <w:numId w:val="5"/>
        </w:numPr>
        <w:spacing w:after="0" w:line="240" w:lineRule="auto"/>
        <w:ind w:left="212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l</w:t>
      </w:r>
      <w:r w:rsidR="001C63F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īderīb</w:t>
      </w:r>
      <w:r w:rsidR="00974C85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7B5E4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3E2BF51B" w14:textId="77777777" w:rsidR="001C63FC" w:rsidRPr="00B12CA4" w:rsidRDefault="006A523E" w:rsidP="00B12CA4">
      <w:pPr>
        <w:pStyle w:val="Sarakstarindkopa"/>
        <w:numPr>
          <w:ilvl w:val="3"/>
          <w:numId w:val="5"/>
        </w:numPr>
        <w:spacing w:after="0" w:line="240" w:lineRule="auto"/>
        <w:ind w:left="212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1C63F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tbalsts un sadarbība;</w:t>
      </w:r>
    </w:p>
    <w:p w14:paraId="3766F08A" w14:textId="77777777" w:rsidR="001C63FC" w:rsidRPr="00B12CA4" w:rsidRDefault="006A523E" w:rsidP="00B12CA4">
      <w:pPr>
        <w:pStyle w:val="Sarakstarindkopa"/>
        <w:numPr>
          <w:ilvl w:val="3"/>
          <w:numId w:val="5"/>
        </w:numPr>
        <w:spacing w:after="0" w:line="240" w:lineRule="auto"/>
        <w:ind w:left="212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1C63F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ārliecināšana un ietekme;</w:t>
      </w:r>
    </w:p>
    <w:p w14:paraId="0326AEE9" w14:textId="77777777" w:rsidR="001C63FC" w:rsidRPr="00B12CA4" w:rsidRDefault="006A523E" w:rsidP="00B12CA4">
      <w:pPr>
        <w:pStyle w:val="Sarakstarindkopa"/>
        <w:numPr>
          <w:ilvl w:val="3"/>
          <w:numId w:val="5"/>
        </w:numPr>
        <w:spacing w:after="0" w:line="240" w:lineRule="auto"/>
        <w:ind w:left="212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1C63F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tratēģiju un konceptu radīšana;</w:t>
      </w:r>
    </w:p>
    <w:p w14:paraId="7E10CCC6" w14:textId="77777777" w:rsidR="001C63FC" w:rsidRPr="00B12CA4" w:rsidRDefault="006A523E" w:rsidP="00B12CA4">
      <w:pPr>
        <w:pStyle w:val="Sarakstarindkopa"/>
        <w:numPr>
          <w:ilvl w:val="3"/>
          <w:numId w:val="5"/>
        </w:numPr>
        <w:spacing w:after="0" w:line="240" w:lineRule="auto"/>
        <w:ind w:left="212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1C63F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ersonīgo un darba mērķu sasniegšana;</w:t>
      </w:r>
    </w:p>
    <w:p w14:paraId="658CC79C" w14:textId="77777777" w:rsidR="001C63FC" w:rsidRPr="00B12CA4" w:rsidRDefault="006A523E" w:rsidP="00B12CA4">
      <w:pPr>
        <w:pStyle w:val="Sarakstarindkopa"/>
        <w:numPr>
          <w:ilvl w:val="3"/>
          <w:numId w:val="5"/>
        </w:numPr>
        <w:spacing w:after="0" w:line="240" w:lineRule="auto"/>
        <w:ind w:left="212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1C63F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lānošana un organizēšana.</w:t>
      </w:r>
    </w:p>
    <w:p w14:paraId="64D28A01" w14:textId="77777777" w:rsidR="0084228D" w:rsidRPr="00B12CA4" w:rsidRDefault="0084228D" w:rsidP="00B12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FEEE92B" w14:textId="61C70206" w:rsidR="00B449B7" w:rsidRPr="00ED2807" w:rsidRDefault="000C54C9" w:rsidP="00ED2807">
      <w:pPr>
        <w:pStyle w:val="Sarakstarindkop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5" w:name="_Hlk83142446"/>
      <w:r w:rsidRPr="00B12CA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Pretendentu atlase</w:t>
      </w:r>
      <w:r w:rsidR="007C6866" w:rsidRPr="00B12CA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s </w:t>
      </w:r>
      <w:r w:rsidR="004B7236" w:rsidRPr="00B12CA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un amatā </w:t>
      </w:r>
      <w:r w:rsidR="003E1F49" w:rsidRPr="00B12CA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apstiprināšana</w:t>
      </w:r>
      <w:r w:rsidR="0090460C" w:rsidRPr="00B12CA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</w:t>
      </w:r>
      <w:r w:rsidR="00AB067E" w:rsidRPr="00B12C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60C" w:rsidRPr="00B12CA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procedūra</w:t>
      </w:r>
      <w:r w:rsidR="00AB067E" w:rsidRPr="00B12CA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bookmarkEnd w:id="5"/>
    </w:p>
    <w:p w14:paraId="3B73FB66" w14:textId="7528096C" w:rsidR="007C6866" w:rsidRPr="00B12CA4" w:rsidRDefault="007C6866" w:rsidP="00B12CA4">
      <w:pPr>
        <w:pStyle w:val="Sarakstarindkopa"/>
        <w:numPr>
          <w:ilvl w:val="1"/>
          <w:numId w:val="5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hAnsi="Times New Roman" w:cs="Times New Roman"/>
          <w:sz w:val="24"/>
          <w:szCs w:val="24"/>
        </w:rPr>
        <w:t>Atlas</w:t>
      </w:r>
      <w:r w:rsidR="00F66FEB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 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uz visām </w:t>
      </w:r>
      <w:proofErr w:type="spellStart"/>
      <w:r w:rsidR="001F787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tenūr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profesora</w:t>
      </w:r>
      <w:proofErr w:type="spellEnd"/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amata vietām organizē Personāla nodaļa, attiecīgi saskaņojot laiku un aktivitātes ar iesaistītajām personām, kā arī nodrošinot piekļuvi nepieciešamajiem dokumentiem un dokumentācijas apriti.</w:t>
      </w:r>
    </w:p>
    <w:p w14:paraId="6B805DBB" w14:textId="77777777" w:rsidR="00A850A6" w:rsidRPr="00B12CA4" w:rsidRDefault="00A850A6" w:rsidP="00B12CA4">
      <w:pPr>
        <w:pStyle w:val="Sarakstarindkopa"/>
        <w:numPr>
          <w:ilvl w:val="1"/>
          <w:numId w:val="5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Pretendentu </w:t>
      </w:r>
      <w:r w:rsidR="00D61C6F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atlas</w:t>
      </w:r>
      <w:r w:rsidR="00F66FEB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D61C6F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45C47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noslēdz</w:t>
      </w:r>
      <w:r w:rsidR="00D61C6F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 </w:t>
      </w:r>
      <w:r w:rsidR="006A523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vēlāk 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kā 4 (četru) mēnešu</w:t>
      </w:r>
      <w:r w:rsidR="007C6866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laikā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C6866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no</w:t>
      </w:r>
      <w:r w:rsidR="006A523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konkursa izsludināšanas dienas.</w:t>
      </w:r>
    </w:p>
    <w:p w14:paraId="3698BB6E" w14:textId="0CCF8697" w:rsidR="006C2B2E" w:rsidRPr="00B12CA4" w:rsidRDefault="00C654E8" w:rsidP="00B12CA4">
      <w:pPr>
        <w:pStyle w:val="Sarakstarindkopa"/>
        <w:numPr>
          <w:ilvl w:val="1"/>
          <w:numId w:val="5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Kopējo a</w:t>
      </w:r>
      <w:r w:rsidR="006C2B2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tlases </w:t>
      </w:r>
      <w:r w:rsidR="00F66FEB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procedūru</w:t>
      </w:r>
      <w:r w:rsidR="007C6866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, kā arī p</w:t>
      </w:r>
      <w:r w:rsidR="00455C69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retendentu apstiprināšanas</w:t>
      </w:r>
      <w:r w:rsidR="00763B23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C2B2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uzraudzību</w:t>
      </w:r>
      <w:r w:rsidR="007C6866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6C2B2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97254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sūdzību</w:t>
      </w:r>
      <w:r w:rsidR="00455C69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</w:t>
      </w:r>
      <w:r w:rsidR="00E97254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pretenziju izskatīšanu</w:t>
      </w:r>
      <w:r w:rsidR="006C2B2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96B1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rektora uzdevumā </w:t>
      </w:r>
      <w:r w:rsidR="006C2B2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nodrošina </w:t>
      </w:r>
      <w:proofErr w:type="spellStart"/>
      <w:r w:rsidR="006C2B2E" w:rsidRPr="00B12CA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Ten</w:t>
      </w:r>
      <w:r w:rsidR="007B5E4C" w:rsidRPr="00B12CA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u</w:t>
      </w:r>
      <w:r w:rsidR="006C2B2E" w:rsidRPr="00B12CA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r</w:t>
      </w:r>
      <w:r w:rsidR="00DB416E" w:rsidRPr="00B12CA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</w:t>
      </w:r>
      <w:proofErr w:type="spellEnd"/>
      <w:r w:rsidR="006C2B2E" w:rsidRPr="00B12CA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E22C9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darba grupa</w:t>
      </w:r>
      <w:r w:rsidR="006C2B2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1C5B4567" w14:textId="77777777" w:rsidR="004143A8" w:rsidRPr="00B12CA4" w:rsidRDefault="004143A8" w:rsidP="00B12CA4">
      <w:pPr>
        <w:pStyle w:val="Sarakstarindkopa"/>
        <w:numPr>
          <w:ilvl w:val="1"/>
          <w:numId w:val="5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Pretendentu </w:t>
      </w:r>
      <w:r w:rsidR="00B87839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atlases procesā 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tiek nodrošināta</w:t>
      </w:r>
      <w:r w:rsidR="00F66FEB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viņu 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atbilstība dažādības principiem</w:t>
      </w:r>
      <w:r w:rsidR="00147770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74823D1B" w14:textId="0CF34A3B" w:rsidR="00820F20" w:rsidRPr="00B12CA4" w:rsidRDefault="00350FA1" w:rsidP="00B12CA4">
      <w:pPr>
        <w:pStyle w:val="Sarakstarindkopa"/>
        <w:numPr>
          <w:ilvl w:val="1"/>
          <w:numId w:val="5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Atlase </w:t>
      </w:r>
      <w:r w:rsidR="00C654E8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 </w:t>
      </w:r>
      <w:proofErr w:type="spellStart"/>
      <w:r w:rsidR="00F66FEB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tenūr</w:t>
      </w:r>
      <w:r w:rsidR="007C6866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profesora</w:t>
      </w:r>
      <w:proofErr w:type="spellEnd"/>
      <w:r w:rsidR="007C6866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amata viet</w:t>
      </w:r>
      <w:r w:rsidR="00C654E8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 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norisinās 4 (četrās) kārtās:</w:t>
      </w:r>
    </w:p>
    <w:p w14:paraId="436F39F5" w14:textId="77777777" w:rsidR="00350FA1" w:rsidRPr="00B12CA4" w:rsidRDefault="00926CD9" w:rsidP="00B12CA4">
      <w:pPr>
        <w:pStyle w:val="Sarakstarindkopa"/>
        <w:numPr>
          <w:ilvl w:val="2"/>
          <w:numId w:val="5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 kārta </w:t>
      </w:r>
      <w:r w:rsidR="00C74E83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="007C6866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B067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Pretendenta k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valifikācijas un akadēmiskā snieguma </w:t>
      </w:r>
      <w:proofErr w:type="spellStart"/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izvērtējums</w:t>
      </w:r>
      <w:proofErr w:type="spellEnd"/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1D0F3D4E" w14:textId="77777777" w:rsidR="00926CD9" w:rsidRPr="00B12CA4" w:rsidRDefault="00926CD9" w:rsidP="00B12CA4">
      <w:pPr>
        <w:pStyle w:val="Sarakstarindkopa"/>
        <w:numPr>
          <w:ilvl w:val="2"/>
          <w:numId w:val="5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 kārta – </w:t>
      </w:r>
      <w:r w:rsidR="00AB067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Pretendenta m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otivācijas intervija un redzējuma prezentācija;</w:t>
      </w:r>
    </w:p>
    <w:p w14:paraId="6CAF8FE2" w14:textId="77777777" w:rsidR="00926CD9" w:rsidRPr="00B12CA4" w:rsidRDefault="00926CD9" w:rsidP="00B12CA4">
      <w:pPr>
        <w:pStyle w:val="Sarakstarindkopa"/>
        <w:numPr>
          <w:ilvl w:val="2"/>
          <w:numId w:val="5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3. kārta – </w:t>
      </w:r>
      <w:r w:rsidR="00AB067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Pretendenta k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ompetenču un prasmju vērtējums;</w:t>
      </w:r>
    </w:p>
    <w:p w14:paraId="262FB3EF" w14:textId="21BDE773" w:rsidR="00926CD9" w:rsidRPr="00B12CA4" w:rsidRDefault="00926CD9" w:rsidP="00B12CA4">
      <w:pPr>
        <w:pStyle w:val="Sarakstarindkopa"/>
        <w:numPr>
          <w:ilvl w:val="2"/>
          <w:numId w:val="5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4. kārta – Fināla pretendenta izvēle un </w:t>
      </w:r>
      <w:r w:rsidR="004B7236" w:rsidRPr="00B12CA4">
        <w:rPr>
          <w:rFonts w:ascii="Times New Roman" w:hAnsi="Times New Roman" w:cs="Times New Roman"/>
          <w:sz w:val="24"/>
          <w:szCs w:val="24"/>
        </w:rPr>
        <w:t>apstiprināšana</w:t>
      </w:r>
      <w:r w:rsidR="004B7236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1F787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tenūr</w:t>
      </w:r>
      <w:r w:rsidR="00AB067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profesora</w:t>
      </w:r>
      <w:proofErr w:type="spellEnd"/>
      <w:r w:rsidR="00AB067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amatā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0F16A1C8" w14:textId="77777777" w:rsidR="002A32A9" w:rsidRPr="00B12CA4" w:rsidRDefault="002A32A9" w:rsidP="00B12CA4">
      <w:pPr>
        <w:pStyle w:val="Sarakstarindkopa"/>
        <w:numPr>
          <w:ilvl w:val="1"/>
          <w:numId w:val="5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Pretendentu </w:t>
      </w:r>
      <w:r w:rsidR="00C654E8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skaits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 kārtas uz kārtu var samazināties, 4 (ceturtajai) kārtai virzot vienu vai divus fināla pretendentus.</w:t>
      </w:r>
    </w:p>
    <w:p w14:paraId="724933D8" w14:textId="77777777" w:rsidR="007F4F9A" w:rsidRPr="00B12CA4" w:rsidRDefault="0057070E" w:rsidP="00B12CA4">
      <w:pPr>
        <w:pStyle w:val="Sarakstarindkopa"/>
        <w:numPr>
          <w:ilvl w:val="1"/>
          <w:numId w:val="5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Pirmo </w:t>
      </w:r>
      <w:r w:rsidR="007F4F9A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kārtu īsteno attiecīgās nozares</w:t>
      </w:r>
      <w:r w:rsidR="009E651B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</w:t>
      </w:r>
      <w:proofErr w:type="spellStart"/>
      <w:r w:rsidR="009E651B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apakšnozares</w:t>
      </w:r>
      <w:proofErr w:type="spellEnd"/>
      <w:r w:rsidR="007F4F9A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profesoru padome, piesaistot </w:t>
      </w:r>
      <w:r w:rsidR="00A45C47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jomas </w:t>
      </w:r>
      <w:r w:rsidR="007F4F9A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ārvalstu ekspertus, kas sniedz </w:t>
      </w:r>
      <w:r w:rsidR="0055467B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neatkarīgu </w:t>
      </w:r>
      <w:bookmarkStart w:id="6" w:name="_Hlk83767494"/>
      <w:r w:rsidR="00944E3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pretendentu </w:t>
      </w:r>
      <w:r w:rsidR="0055467B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novērtējumu</w:t>
      </w:r>
      <w:bookmarkEnd w:id="6"/>
      <w:r w:rsidR="0055467B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F4F9A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rekomendācijas formā.</w:t>
      </w:r>
    </w:p>
    <w:p w14:paraId="7D56DC87" w14:textId="77777777" w:rsidR="00944E3C" w:rsidRPr="00B12CA4" w:rsidRDefault="0057070E" w:rsidP="00B12CA4">
      <w:pPr>
        <w:pStyle w:val="Sarakstarindkopa"/>
        <w:numPr>
          <w:ilvl w:val="1"/>
          <w:numId w:val="5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Otro</w:t>
      </w:r>
      <w:r w:rsidR="007F4F9A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5467B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trešo</w:t>
      </w:r>
      <w:r w:rsidR="0055467B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kārtu īsteno ar RTU rektora rīkojumu </w:t>
      </w:r>
      <w:r w:rsidR="00944E3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katrai amata vietai </w:t>
      </w:r>
      <w:r w:rsidR="0055467B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izveidota Pretendentu izvērtēšanas </w:t>
      </w:r>
      <w:r w:rsidR="00E22C9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darba grupa</w:t>
      </w:r>
      <w:r w:rsidR="0055467B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kuras sastāvā </w:t>
      </w:r>
      <w:r w:rsidR="00FA25F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ir attiecīgās</w:t>
      </w:r>
      <w:r w:rsidR="0055467B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fakultātes </w:t>
      </w:r>
      <w:r w:rsidR="006A523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="0055467B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ekān</w:t>
      </w:r>
      <w:r w:rsidR="00FA25F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55467B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FA25F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RTU </w:t>
      </w:r>
      <w:r w:rsidR="0055467B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Personāla nodaļas vadītāj</w:t>
      </w:r>
      <w:r w:rsidR="00FA25F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55467B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tā pilnvarot</w:t>
      </w:r>
      <w:r w:rsidR="00FA25F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55467B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</w:t>
      </w:r>
      <w:r w:rsidR="00FA25F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55467B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, attiecīgās nozares vai industrijas pārstāvi</w:t>
      </w:r>
      <w:r w:rsidR="00FA25F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55467B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6A523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z</w:t>
      </w:r>
      <w:r w:rsidR="0055467B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inātņu vai </w:t>
      </w:r>
      <w:r w:rsidR="006A523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944E3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tudiju prorektor</w:t>
      </w:r>
      <w:r w:rsidR="00FA25F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6970CF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tā pilnvarot</w:t>
      </w:r>
      <w:r w:rsidR="00FA25F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6970CF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</w:t>
      </w:r>
      <w:r w:rsidR="00FA25F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6D04A7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r w:rsidR="00944E3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augsti novērtēt</w:t>
      </w:r>
      <w:r w:rsidR="00E97254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944E3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profesor</w:t>
      </w:r>
      <w:r w:rsidR="00E97254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944E3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 citas zinātņu nozares. </w:t>
      </w:r>
      <w:r w:rsidR="006A523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Pretendentu izvērtēšanas d</w:t>
      </w:r>
      <w:r w:rsidR="00E22C9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arba grupa</w:t>
      </w:r>
      <w:r w:rsidR="00944E3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 darbu vada </w:t>
      </w:r>
      <w:r w:rsidR="006A523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z</w:t>
      </w:r>
      <w:r w:rsidR="00B75789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inātņu prorektors vai viņa</w:t>
      </w:r>
      <w:r w:rsidR="004A4177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pilnvarota persona</w:t>
      </w:r>
      <w:r w:rsidR="00944E3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6A523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Pretendentu izvērtēšanas d</w:t>
      </w:r>
      <w:r w:rsidR="00E22C9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arba grupa</w:t>
      </w:r>
      <w:r w:rsidR="00944E3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var piesaistīt Personāla nodaļ</w:t>
      </w:r>
      <w:r w:rsidR="006A523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as</w:t>
      </w:r>
      <w:r w:rsidR="00944E3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ārēj</w:t>
      </w:r>
      <w:r w:rsidR="00A45C47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o</w:t>
      </w:r>
      <w:r w:rsidR="00944E3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 </w:t>
      </w:r>
      <w:proofErr w:type="spellStart"/>
      <w:r w:rsidR="00944E3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personālvadības</w:t>
      </w:r>
      <w:proofErr w:type="spellEnd"/>
      <w:r w:rsidR="00944E3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ekspertus neatkarīga novērtējuma veikšanai </w:t>
      </w:r>
      <w:r w:rsidR="00966DF0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noteiktā jomā </w:t>
      </w:r>
      <w:r w:rsidR="00944E3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rekomendācijas formā. </w:t>
      </w:r>
    </w:p>
    <w:p w14:paraId="08571903" w14:textId="77777777" w:rsidR="00926CD9" w:rsidRPr="00B12CA4" w:rsidRDefault="0057070E" w:rsidP="00B12CA4">
      <w:pPr>
        <w:pStyle w:val="Sarakstarindkopa"/>
        <w:numPr>
          <w:ilvl w:val="1"/>
          <w:numId w:val="5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Ceturto</w:t>
      </w:r>
      <w:r w:rsidR="00944E3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kārtu īsteno attiecīgās </w:t>
      </w:r>
      <w:r w:rsidR="009E651B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nozares vai </w:t>
      </w:r>
      <w:proofErr w:type="spellStart"/>
      <w:r w:rsidR="009E651B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apakšnozares</w:t>
      </w:r>
      <w:proofErr w:type="spellEnd"/>
      <w:r w:rsidR="009E651B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44E3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profesoru padome.</w:t>
      </w:r>
    </w:p>
    <w:p w14:paraId="10674635" w14:textId="77777777" w:rsidR="00DA50DF" w:rsidRPr="00B12CA4" w:rsidRDefault="0057070E" w:rsidP="00B12CA4">
      <w:pPr>
        <w:pStyle w:val="Sarakstarindkopa"/>
        <w:numPr>
          <w:ilvl w:val="1"/>
          <w:numId w:val="5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Pirmā </w:t>
      </w:r>
      <w:r w:rsidR="00DA50DF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atlases kārta</w:t>
      </w:r>
      <w:r w:rsidR="00882CEA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64FD28FB" w14:textId="77777777" w:rsidR="00DA50DF" w:rsidRPr="00B12CA4" w:rsidRDefault="00DA50DF" w:rsidP="00B12CA4">
      <w:pPr>
        <w:pStyle w:val="Sarakstarindkopa"/>
        <w:numPr>
          <w:ilvl w:val="2"/>
          <w:numId w:val="5"/>
        </w:numPr>
        <w:spacing w:after="0" w:line="240" w:lineRule="auto"/>
        <w:ind w:left="1843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Šīs </w:t>
      </w:r>
      <w:r w:rsidR="0057070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kārtas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mērķis ir novērtēt pretendentu akadēmisko kvalifikāciju un sniegumu iepriekšējos periodos</w:t>
      </w:r>
      <w:r w:rsidR="006D04A7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32405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saskaņā ar 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nolikuma </w:t>
      </w:r>
      <w:r w:rsidR="00D81F3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931648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82CEA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sadaļā</w:t>
      </w:r>
      <w:r w:rsidR="00132405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norādīto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, kā arī izvirzīto akadēmisko mērķu atbilstību</w:t>
      </w:r>
      <w:r w:rsidR="006D04A7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RTU prasībām</w:t>
      </w:r>
      <w:r w:rsidR="00882CEA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5F1A1B32" w14:textId="77777777" w:rsidR="0057070E" w:rsidRPr="00B12CA4" w:rsidRDefault="00A45C47" w:rsidP="00B12CA4">
      <w:pPr>
        <w:pStyle w:val="Sarakstarindkopa"/>
        <w:numPr>
          <w:ilvl w:val="2"/>
          <w:numId w:val="5"/>
        </w:numPr>
        <w:spacing w:after="0" w:line="240" w:lineRule="auto"/>
        <w:ind w:left="1843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Ja konkrētajai nozare</w:t>
      </w:r>
      <w:r w:rsidR="00590098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/</w:t>
      </w:r>
      <w:proofErr w:type="spellStart"/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apakšnozarei</w:t>
      </w:r>
      <w:proofErr w:type="spellEnd"/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nav RTU profesoru padomes, tā tiek izveidota</w:t>
      </w:r>
      <w:r w:rsidR="004439E2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saskaņā ar Augstskolu likumā noteiktajām prasībām</w:t>
      </w:r>
      <w:r w:rsidR="00882CEA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07922A3B" w14:textId="1694661B" w:rsidR="00A45C47" w:rsidRPr="00B12CA4" w:rsidRDefault="005C4BB6" w:rsidP="00B12CA4">
      <w:pPr>
        <w:pStyle w:val="Sarakstarindkopa"/>
        <w:numPr>
          <w:ilvl w:val="2"/>
          <w:numId w:val="5"/>
        </w:numPr>
        <w:spacing w:after="0" w:line="240" w:lineRule="auto"/>
        <w:ind w:left="1843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B12CA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Ten</w:t>
      </w:r>
      <w:r w:rsidR="00590098" w:rsidRPr="00B12CA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u</w:t>
      </w:r>
      <w:r w:rsidRPr="00B12CA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r</w:t>
      </w:r>
      <w:r w:rsidR="00DB416E" w:rsidRPr="00B12CA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</w:t>
      </w:r>
      <w:proofErr w:type="spellEnd"/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22C9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darba grupa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E05C2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saskaņo 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attiecīgās fakultātes ieteiktus </w:t>
      </w:r>
      <w:r w:rsidR="004143A8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="004143A8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divus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ārvalstu ekspertus, kas </w:t>
      </w:r>
      <w:r w:rsidR="00326ED6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veic </w:t>
      </w:r>
      <w:r w:rsidR="00A5183F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pretendentu akadēmiskās kvalifikācijas un snieguma </w:t>
      </w:r>
      <w:proofErr w:type="spellStart"/>
      <w:r w:rsidR="00A5183F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izvērtējumu</w:t>
      </w:r>
      <w:proofErr w:type="spellEnd"/>
      <w:r w:rsidR="00A175D2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Eksperti savu </w:t>
      </w:r>
      <w:proofErr w:type="spellStart"/>
      <w:r w:rsidR="00A175D2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izvērtējumu</w:t>
      </w:r>
      <w:proofErr w:type="spellEnd"/>
      <w:r w:rsidR="00A175D2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iesniedz </w:t>
      </w:r>
      <w:r w:rsidR="00D435B7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rakstiskā formā </w:t>
      </w:r>
      <w:r w:rsidR="00A175D2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attiecīgajai profesoru padomei</w:t>
      </w:r>
      <w:r w:rsidR="00D435B7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noteiktajā termiņā</w:t>
      </w:r>
      <w:r w:rsidR="00A175D2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un tas tiek ņemts vērā gala </w:t>
      </w:r>
      <w:r w:rsidR="00D435B7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lēmuma</w:t>
      </w:r>
      <w:r w:rsidR="00A175D2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pieņemšan</w:t>
      </w:r>
      <w:r w:rsidR="00882CEA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ā;</w:t>
      </w:r>
    </w:p>
    <w:p w14:paraId="0D6ABD7A" w14:textId="77777777" w:rsidR="00E3775C" w:rsidRPr="00B12CA4" w:rsidRDefault="00814C97" w:rsidP="00B12CA4">
      <w:pPr>
        <w:pStyle w:val="Sarakstarindkopa"/>
        <w:numPr>
          <w:ilvl w:val="2"/>
          <w:numId w:val="5"/>
        </w:numPr>
        <w:spacing w:after="0" w:line="240" w:lineRule="auto"/>
        <w:ind w:left="1843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Pretendentu </w:t>
      </w:r>
      <w:proofErr w:type="spellStart"/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izvērtējumu</w:t>
      </w:r>
      <w:proofErr w:type="spellEnd"/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55AF9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profesoru padomes locekļi un ārvalstu eksperti</w:t>
      </w:r>
      <w:r w:rsidR="00F51D6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veic patstāvīgi, </w:t>
      </w:r>
      <w:r w:rsidR="00E3775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vērtējot katra pretendenta iesniegtos dokumentus</w:t>
      </w:r>
      <w:r w:rsidR="00882CEA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52F3B2F5" w14:textId="77777777" w:rsidR="00D435B7" w:rsidRPr="00B12CA4" w:rsidRDefault="00D435B7" w:rsidP="00B12CA4">
      <w:pPr>
        <w:pStyle w:val="Sarakstarindkopa"/>
        <w:numPr>
          <w:ilvl w:val="2"/>
          <w:numId w:val="5"/>
        </w:numPr>
        <w:spacing w:after="0" w:line="240" w:lineRule="auto"/>
        <w:ind w:left="1843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Katru</w:t>
      </w:r>
      <w:r w:rsidR="00D16073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nolikuma 1.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pielikumā norādīto kritēriju profesoru padomes locekļi un ārvalstu eksperti novērtē skalā no </w:t>
      </w:r>
      <w:r w:rsidR="00917E18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16073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līdz </w:t>
      </w:r>
      <w:r w:rsidR="00917E18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kur </w:t>
      </w:r>
      <w:r w:rsidR="00917E18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5 </w:t>
      </w:r>
      <w:r w:rsidR="00D32670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="00917E18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izcili, 4 </w:t>
      </w:r>
      <w:r w:rsidR="00D32670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="00917E18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ļoti labi, 3 </w:t>
      </w:r>
      <w:r w:rsidR="00D32670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="00917E18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labi, 2 – apmierinoši, 1 </w:t>
      </w:r>
      <w:r w:rsidR="00D32670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="00917E18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neapmierinoši </w:t>
      </w:r>
      <w:r w:rsidR="00D32670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</w:t>
      </w:r>
      <w:r w:rsidR="00917E18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0 – nevar novērtēt</w:t>
      </w:r>
      <w:r w:rsidR="001F5BD0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un īsu vērtējuma pamatojumu </w:t>
      </w:r>
      <w:r w:rsidR="00D32670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ieraksta attiecīgajā </w:t>
      </w:r>
      <w:r w:rsidR="001F5BD0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16073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ailē</w:t>
      </w:r>
      <w:r w:rsidR="00882CEA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6A253F56" w14:textId="77777777" w:rsidR="001F5BD0" w:rsidRPr="00B12CA4" w:rsidRDefault="00D16073" w:rsidP="00B12CA4">
      <w:pPr>
        <w:pStyle w:val="Sarakstarindkopa"/>
        <w:numPr>
          <w:ilvl w:val="2"/>
          <w:numId w:val="5"/>
        </w:numPr>
        <w:spacing w:after="0" w:line="240" w:lineRule="auto"/>
        <w:ind w:left="1843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FD0F25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rofesoru padome diskutē un vienojas par katra pretendenta novērtējumu katrā kritērijā, ņemot vērā individuālos vērtējumus un ārvalstu ekspertu novērtējumus. Rezultātā tiek saskaitīts kopējais iegūto punktu skaits katram pretendentam</w:t>
      </w:r>
      <w:r w:rsidR="00882CEA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31FBBA62" w14:textId="77777777" w:rsidR="00FD0F25" w:rsidRPr="00B12CA4" w:rsidRDefault="00FD0F25" w:rsidP="00B12CA4">
      <w:pPr>
        <w:pStyle w:val="Sarakstarindkopa"/>
        <w:numPr>
          <w:ilvl w:val="2"/>
          <w:numId w:val="5"/>
        </w:numPr>
        <w:spacing w:after="0" w:line="240" w:lineRule="auto"/>
        <w:ind w:left="1843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Profesoru padomes </w:t>
      </w:r>
      <w:r w:rsidR="00AD45F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lēmumā tiek norādīti </w:t>
      </w:r>
      <w:r w:rsidR="00147770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 vairāk kā 4 labākie </w:t>
      </w:r>
      <w:r w:rsidR="00AD45F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pretendenti, ka</w:t>
      </w:r>
      <w:r w:rsidR="00147770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 </w:t>
      </w:r>
      <w:r w:rsidR="00AD45F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virzāmi tālākajām atlases kārtām</w:t>
      </w:r>
      <w:r w:rsidR="00882CEA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212A09E9" w14:textId="77777777" w:rsidR="00CB1291" w:rsidRPr="00B12CA4" w:rsidRDefault="00CB1291" w:rsidP="00B12CA4">
      <w:pPr>
        <w:pStyle w:val="Sarakstarindkopa"/>
        <w:numPr>
          <w:ilvl w:val="2"/>
          <w:numId w:val="5"/>
        </w:numPr>
        <w:spacing w:after="0" w:line="240" w:lineRule="auto"/>
        <w:ind w:left="1843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Personāla nodaļa informē pretendentus ar pieņemtajiem lēmumiem.</w:t>
      </w:r>
    </w:p>
    <w:p w14:paraId="64CAEDFC" w14:textId="77777777" w:rsidR="00AD45FD" w:rsidRPr="00B12CA4" w:rsidRDefault="00AD45FD" w:rsidP="00B12CA4">
      <w:pPr>
        <w:pStyle w:val="Sarakstarindkopa"/>
        <w:numPr>
          <w:ilvl w:val="1"/>
          <w:numId w:val="5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Otrā atlases kārta</w:t>
      </w:r>
      <w:r w:rsidR="00882CEA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5818BB2E" w14:textId="77777777" w:rsidR="00715F5D" w:rsidRPr="00B12CA4" w:rsidRDefault="00AD45FD" w:rsidP="00B12CA4">
      <w:pPr>
        <w:pStyle w:val="Sarakstarindkopa"/>
        <w:numPr>
          <w:ilvl w:val="2"/>
          <w:numId w:val="5"/>
        </w:numPr>
        <w:spacing w:after="0" w:line="240" w:lineRule="auto"/>
        <w:ind w:left="1701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Šīs kārtas mērķis ir novērtēt pretendentu</w:t>
      </w:r>
      <w:r w:rsidR="00715F5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motivāciju un redzējumu par </w:t>
      </w:r>
      <w:r w:rsidR="004257EF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plānoto</w:t>
      </w:r>
      <w:r w:rsidR="00715F5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ieguldījumu </w:t>
      </w:r>
      <w:proofErr w:type="spellStart"/>
      <w:r w:rsidR="008A7C6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apakšnozares</w:t>
      </w:r>
      <w:proofErr w:type="spellEnd"/>
      <w:r w:rsidR="008A7C6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attīstībā, kā arī fakultātes un RTU stratēģijā noteikto mērķu sasniegšanā</w:t>
      </w:r>
      <w:r w:rsidR="0039225A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7D1BD5C" w14:textId="77777777" w:rsidR="00E225CA" w:rsidRPr="00B12CA4" w:rsidRDefault="00873C26" w:rsidP="00B12CA4">
      <w:pPr>
        <w:pStyle w:val="Sarakstarindkopa"/>
        <w:numPr>
          <w:ilvl w:val="2"/>
          <w:numId w:val="5"/>
        </w:numPr>
        <w:spacing w:after="0" w:line="240" w:lineRule="auto"/>
        <w:ind w:left="1701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Pretendentu </w:t>
      </w:r>
      <w:proofErr w:type="spellStart"/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izvērtējum</w:t>
      </w:r>
      <w:r w:rsidR="00163FE7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proofErr w:type="spellEnd"/>
      <w:r w:rsidR="00163FE7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šajā kārtā notiek klātienē</w:t>
      </w:r>
      <w:r w:rsidR="004B7236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attālināti</w:t>
      </w:r>
      <w:r w:rsidR="00163FE7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Pretendentu izvērtēšanas </w:t>
      </w:r>
      <w:r w:rsidR="00E22C9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darba grupa</w:t>
      </w:r>
      <w:r w:rsidR="00163FE7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i uzklausot katra pretendenta:</w:t>
      </w:r>
    </w:p>
    <w:p w14:paraId="545A509B" w14:textId="77777777" w:rsidR="00163FE7" w:rsidRPr="00B12CA4" w:rsidRDefault="00D16073" w:rsidP="00B12CA4">
      <w:pPr>
        <w:pStyle w:val="Sarakstarindkopa"/>
        <w:numPr>
          <w:ilvl w:val="3"/>
          <w:numId w:val="5"/>
        </w:numPr>
        <w:spacing w:after="0" w:line="240" w:lineRule="auto"/>
        <w:ind w:left="212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163FE7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epazīstināšanu ar sevi;</w:t>
      </w:r>
    </w:p>
    <w:p w14:paraId="27D33083" w14:textId="77777777" w:rsidR="00BA2DB9" w:rsidRPr="00B12CA4" w:rsidRDefault="00D16073" w:rsidP="00B12CA4">
      <w:pPr>
        <w:pStyle w:val="Sarakstarindkopa"/>
        <w:numPr>
          <w:ilvl w:val="3"/>
          <w:numId w:val="5"/>
        </w:numPr>
        <w:spacing w:after="0" w:line="240" w:lineRule="auto"/>
        <w:ind w:left="212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m</w:t>
      </w:r>
      <w:r w:rsidR="00BA2DB9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otivāciju – intervijas veidā;</w:t>
      </w:r>
    </w:p>
    <w:p w14:paraId="6BF8E223" w14:textId="77777777" w:rsidR="00163FE7" w:rsidRPr="00B12CA4" w:rsidRDefault="00D16073" w:rsidP="00B12CA4">
      <w:pPr>
        <w:pStyle w:val="Sarakstarindkopa"/>
        <w:numPr>
          <w:ilvl w:val="3"/>
          <w:numId w:val="5"/>
        </w:numPr>
        <w:spacing w:after="0" w:line="240" w:lineRule="auto"/>
        <w:ind w:left="212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163FE7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rezentāciju</w:t>
      </w:r>
      <w:r w:rsidR="00C74E83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, kas ietver redzējumu par savu attīstību un</w:t>
      </w:r>
      <w:r w:rsidR="00FA25F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32670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paredzēto</w:t>
      </w:r>
      <w:r w:rsidR="00C74E83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ieguldījumu RTU attīstībā, t.</w:t>
      </w:r>
      <w:r w:rsidR="00652C6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74E83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sk. pētniecības plānu </w:t>
      </w:r>
      <w:r w:rsidR="00FA25F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turpmākajos</w:t>
      </w:r>
      <w:r w:rsidR="00C74E83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6 (seš</w:t>
      </w:r>
      <w:r w:rsidR="00D32670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os</w:t>
      </w:r>
      <w:r w:rsidR="00C74E83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) gad</w:t>
      </w:r>
      <w:r w:rsidR="00D32670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os</w:t>
      </w:r>
      <w:r w:rsidR="00FA25F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6083CAB" w14:textId="77777777" w:rsidR="001C06FE" w:rsidRPr="00B12CA4" w:rsidRDefault="001C06FE" w:rsidP="00B12CA4">
      <w:pPr>
        <w:pStyle w:val="Sarakstarindkopa"/>
        <w:numPr>
          <w:ilvl w:val="2"/>
          <w:numId w:val="5"/>
        </w:numPr>
        <w:spacing w:after="0" w:line="240" w:lineRule="auto"/>
        <w:ind w:left="1701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Papildus </w:t>
      </w:r>
      <w:r w:rsidR="00FA25F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retendentu izvērtēšanas </w:t>
      </w:r>
      <w:r w:rsidR="00E22C9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darba grupa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 locekļi vērtēšanā izmanto katra pretendenta iesniegtos </w:t>
      </w:r>
      <w:r w:rsidR="00A929C0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nolikuma </w:t>
      </w:r>
      <w:r w:rsidR="00FA25F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.6.2. un </w:t>
      </w:r>
      <w:r w:rsidR="00FA25F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.6.3. punkt</w:t>
      </w:r>
      <w:r w:rsidR="00A929C0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A25F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norādītos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dokumentus</w:t>
      </w:r>
      <w:r w:rsidR="00FA25F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50C51F3" w14:textId="77777777" w:rsidR="00C74E83" w:rsidRPr="00B12CA4" w:rsidRDefault="00916A38" w:rsidP="00B12CA4">
      <w:pPr>
        <w:pStyle w:val="Sarakstarindkopa"/>
        <w:numPr>
          <w:ilvl w:val="2"/>
          <w:numId w:val="5"/>
        </w:numPr>
        <w:spacing w:after="0" w:line="240" w:lineRule="auto"/>
        <w:ind w:left="1701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Pēc dokumentu analīzes un klātienes tikšanās katrs Pretendentu izvērtēšanas </w:t>
      </w:r>
      <w:r w:rsidR="00E22C9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darba grupa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 </w:t>
      </w:r>
      <w:r w:rsidR="00D16073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loceklis </w:t>
      </w:r>
      <w:r w:rsidR="002E7D1A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sarindo 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pretendentus pēc to snieguma otrajā atlases kārtā, vērtējot pretendenta motivāciju</w:t>
      </w:r>
      <w:r w:rsidR="00FA25F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redzējumu par devumu RTU attīstībai.</w:t>
      </w:r>
    </w:p>
    <w:p w14:paraId="04B0AB5A" w14:textId="77777777" w:rsidR="00AD45FD" w:rsidRPr="00B12CA4" w:rsidRDefault="00AD45FD" w:rsidP="00B12CA4">
      <w:pPr>
        <w:pStyle w:val="Sarakstarindkopa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Trešā atlases kārta</w:t>
      </w:r>
      <w:r w:rsidR="00D81F3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08AA4788" w14:textId="18433672" w:rsidR="00CB1291" w:rsidRPr="00B12CA4" w:rsidRDefault="00CB1291" w:rsidP="00B12CA4">
      <w:pPr>
        <w:pStyle w:val="Sarakstarindkopa"/>
        <w:numPr>
          <w:ilvl w:val="2"/>
          <w:numId w:val="5"/>
        </w:numPr>
        <w:spacing w:after="0" w:line="240" w:lineRule="auto"/>
        <w:ind w:left="1701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Šīs kārtas mērķis ir novērtēt </w:t>
      </w:r>
      <w:r w:rsidR="00147770" w:rsidRPr="00B12CA4">
        <w:rPr>
          <w:rFonts w:ascii="Times New Roman" w:hAnsi="Times New Roman" w:cs="Times New Roman"/>
          <w:sz w:val="24"/>
          <w:szCs w:val="24"/>
        </w:rPr>
        <w:t>izvirzīto</w:t>
      </w:r>
      <w:r w:rsidR="00147770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147770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r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etendentu </w:t>
      </w:r>
      <w:r w:rsidR="00BD0C7F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kompetences un prasmes, kas nepieciešamas </w:t>
      </w:r>
      <w:r w:rsidR="00A929C0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akadēmisko </w:t>
      </w:r>
      <w:r w:rsidR="00B71F71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mērķu sasniegšanai, un </w:t>
      </w:r>
      <w:r w:rsidR="002E7D1A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noteikt</w:t>
      </w:r>
      <w:r w:rsidR="00B71F71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63F32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fināla </w:t>
      </w:r>
      <w:r w:rsidR="00B71F71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pretendentus </w:t>
      </w:r>
      <w:r w:rsidR="004B7236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apstiprināšanai</w:t>
      </w:r>
      <w:r w:rsidR="002E7D1A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1F787D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tenūr</w:t>
      </w:r>
      <w:r w:rsidR="00CE0B14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profesora</w:t>
      </w:r>
      <w:proofErr w:type="spellEnd"/>
      <w:r w:rsidR="00CE0B14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amatā</w:t>
      </w:r>
      <w:r w:rsidR="00063F32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0786E9DA" w14:textId="77777777" w:rsidR="00D16083" w:rsidRPr="00B12CA4" w:rsidRDefault="00CE0B14" w:rsidP="00B12CA4">
      <w:pPr>
        <w:pStyle w:val="Sarakstarindkopa"/>
        <w:numPr>
          <w:ilvl w:val="2"/>
          <w:numId w:val="5"/>
        </w:numPr>
        <w:spacing w:after="0" w:line="240" w:lineRule="auto"/>
        <w:ind w:left="1701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Pretendentu </w:t>
      </w:r>
      <w:proofErr w:type="spellStart"/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izvērtējums</w:t>
      </w:r>
      <w:proofErr w:type="spellEnd"/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šajā kārtā:</w:t>
      </w:r>
    </w:p>
    <w:p w14:paraId="5DC60192" w14:textId="77777777" w:rsidR="00CE0B14" w:rsidRPr="00B12CA4" w:rsidRDefault="0036360D" w:rsidP="00B12CA4">
      <w:pPr>
        <w:pStyle w:val="Sarakstarindkopa"/>
        <w:numPr>
          <w:ilvl w:val="3"/>
          <w:numId w:val="5"/>
        </w:numPr>
        <w:spacing w:after="0" w:line="240" w:lineRule="auto"/>
        <w:ind w:left="212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Personāla nodaļa vai ārējie </w:t>
      </w:r>
      <w:proofErr w:type="spellStart"/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personālvadības</w:t>
      </w:r>
      <w:proofErr w:type="spellEnd"/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eksperti, kuru rīcībā ir atbilstoš</w:t>
      </w:r>
      <w:r w:rsidR="00063F32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kompetenču vērtēšanas </w:t>
      </w:r>
      <w:r w:rsidR="000849D5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metodika</w:t>
      </w:r>
      <w:r w:rsidR="00063F32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2E7D1A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veic </w:t>
      </w:r>
      <w:r w:rsidR="00063F32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2E7D1A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.1.5. punktā norādīto kompetenču vērtējumu;</w:t>
      </w:r>
    </w:p>
    <w:p w14:paraId="103732C8" w14:textId="77777777" w:rsidR="0036360D" w:rsidRPr="00B12CA4" w:rsidRDefault="002466ED" w:rsidP="00B12CA4">
      <w:pPr>
        <w:pStyle w:val="Sarakstarindkopa"/>
        <w:numPr>
          <w:ilvl w:val="3"/>
          <w:numId w:val="5"/>
        </w:numPr>
        <w:spacing w:after="0" w:line="240" w:lineRule="auto"/>
        <w:ind w:left="212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Personāla nodaļa apkopo atsauksmes par katru pretendentu, izmantojot pievienotās </w:t>
      </w:r>
      <w:r w:rsidR="00A929C0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rekomendācijas 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un apzinot pretendenta norādītos kontaktus atsauksmju sniegšanai;</w:t>
      </w:r>
    </w:p>
    <w:p w14:paraId="30A3D5FC" w14:textId="77777777" w:rsidR="002466ED" w:rsidRPr="00B12CA4" w:rsidRDefault="00E43EC2" w:rsidP="00B12CA4">
      <w:pPr>
        <w:pStyle w:val="Sarakstarindkopa"/>
        <w:numPr>
          <w:ilvl w:val="3"/>
          <w:numId w:val="5"/>
        </w:numPr>
        <w:spacing w:after="0" w:line="240" w:lineRule="auto"/>
        <w:ind w:left="212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Pretendentu izvērtēšanas </w:t>
      </w:r>
      <w:r w:rsidR="00E22C9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darba grupa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s locekļi</w:t>
      </w:r>
      <w:r w:rsidR="008F7448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vērtē pretendenta atklāto lekciju klātienē vai tiešsaistē</w:t>
      </w:r>
      <w:r w:rsidR="00F333A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1854E849" w14:textId="77777777" w:rsidR="0060141E" w:rsidRPr="00B12CA4" w:rsidRDefault="008F7448" w:rsidP="00B12CA4">
      <w:pPr>
        <w:pStyle w:val="Sarakstarindkopa"/>
        <w:numPr>
          <w:ilvl w:val="2"/>
          <w:numId w:val="5"/>
        </w:numPr>
        <w:spacing w:after="0" w:line="240" w:lineRule="auto"/>
        <w:ind w:left="1701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Nepieciešamību piesaistīt ārējos </w:t>
      </w:r>
      <w:proofErr w:type="spellStart"/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personālvadības</w:t>
      </w:r>
      <w:proofErr w:type="spellEnd"/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ekspertus kompetenču novērtēšanas procesos </w:t>
      </w:r>
      <w:r w:rsidR="00251A4F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pēc Personāla nodaļas i</w:t>
      </w:r>
      <w:r w:rsidR="0060141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eteikuma izvērtē un apstiprina </w:t>
      </w:r>
      <w:proofErr w:type="spellStart"/>
      <w:r w:rsidR="0060141E" w:rsidRPr="00B12CA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Ten</w:t>
      </w:r>
      <w:r w:rsidR="00590098" w:rsidRPr="00B12CA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u</w:t>
      </w:r>
      <w:r w:rsidR="0060141E" w:rsidRPr="00B12CA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r</w:t>
      </w:r>
      <w:r w:rsidR="00DB416E" w:rsidRPr="00B12CA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</w:t>
      </w:r>
      <w:proofErr w:type="spellEnd"/>
      <w:r w:rsidR="0060141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22C9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darba grupa</w:t>
      </w:r>
      <w:r w:rsidR="00F333A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0C5FF3CB" w14:textId="77777777" w:rsidR="008F7448" w:rsidRPr="00B12CA4" w:rsidRDefault="00A65DE2" w:rsidP="00B12CA4">
      <w:pPr>
        <w:pStyle w:val="Sarakstarindkopa"/>
        <w:numPr>
          <w:ilvl w:val="2"/>
          <w:numId w:val="5"/>
        </w:numPr>
        <w:spacing w:after="0" w:line="240" w:lineRule="auto"/>
        <w:ind w:left="1701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Personāla nodaļa p</w:t>
      </w:r>
      <w:r w:rsidR="0060141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retendentu kompetenču vērtējum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60141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atsauksmju apkopojum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60141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16073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noteiktajā termiņā 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iesniedz rakstiskā formā Pretendentu izvērtēšanas </w:t>
      </w:r>
      <w:r w:rsidR="00E22C9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darba grupa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i, un tie tiek ņemti vērā gala lēmuma pieņemšan</w:t>
      </w:r>
      <w:r w:rsidR="002E7D1A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="00F333A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581859DC" w14:textId="77777777" w:rsidR="00AA7CCE" w:rsidRPr="00B12CA4" w:rsidRDefault="00114B9B" w:rsidP="00B12CA4">
      <w:pPr>
        <w:pStyle w:val="Sarakstarindkopa"/>
        <w:numPr>
          <w:ilvl w:val="2"/>
          <w:numId w:val="5"/>
        </w:numPr>
        <w:spacing w:after="0" w:line="240" w:lineRule="auto"/>
        <w:ind w:left="1701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Pretendentu izvērtēšanas </w:t>
      </w:r>
      <w:r w:rsidR="00E22C9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darba grupa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diskutē un vienojas par katra pretendenta novērtējumu </w:t>
      </w:r>
      <w:r w:rsidR="004C703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otrajā un trešajā atlases kārtā, ņemot vērā </w:t>
      </w:r>
      <w:r w:rsidR="00AA7CC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katra </w:t>
      </w:r>
      <w:r w:rsidR="00E22C9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darba grupa</w:t>
      </w:r>
      <w:r w:rsidR="00AA7CC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 locekļa 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individuālo vērtējumu un </w:t>
      </w:r>
      <w:r w:rsidR="00AA7CC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veikto pretendenta kompetenču vērtējumu un atsauksmju apkopojumu</w:t>
      </w:r>
      <w:r w:rsidR="00F333A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393C1FB8" w14:textId="77777777" w:rsidR="00AA7CCE" w:rsidRPr="00B12CA4" w:rsidRDefault="00114B9B" w:rsidP="00B12CA4">
      <w:pPr>
        <w:pStyle w:val="Sarakstarindkopa"/>
        <w:numPr>
          <w:ilvl w:val="2"/>
          <w:numId w:val="5"/>
        </w:numPr>
        <w:spacing w:after="0" w:line="240" w:lineRule="auto"/>
        <w:ind w:left="1701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Rezultātā </w:t>
      </w:r>
      <w:r w:rsidR="00AA7CC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pretendenti tiek </w:t>
      </w:r>
      <w:r w:rsidR="00AB067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sarindoti pēc to snieguma trešajā atlases kārtā, </w:t>
      </w:r>
      <w:r w:rsidR="00AA7CC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</w:t>
      </w:r>
      <w:r w:rsidR="00E22C9C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darba grupa</w:t>
      </w:r>
      <w:r w:rsidR="000F2693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 lēmumā </w:t>
      </w:r>
      <w:r w:rsidR="00AA7CC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ceturtajai atlases kārtai virzīti viens vai divi augstāk novērtētie pretendenti</w:t>
      </w:r>
      <w:r w:rsidR="001E1CA5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, norādot pamatojumu</w:t>
      </w:r>
      <w:r w:rsidR="00F333A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  <w:r w:rsidR="00AA7CC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5299A4AB" w14:textId="77777777" w:rsidR="00114B9B" w:rsidRPr="00B12CA4" w:rsidRDefault="00114B9B" w:rsidP="00B12CA4">
      <w:pPr>
        <w:pStyle w:val="Sarakstarindkopa"/>
        <w:numPr>
          <w:ilvl w:val="2"/>
          <w:numId w:val="5"/>
        </w:numPr>
        <w:spacing w:after="0" w:line="240" w:lineRule="auto"/>
        <w:ind w:left="1701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Personāla nodaļa informē pretendentus </w:t>
      </w:r>
      <w:r w:rsidR="00F333A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ar pieņemtajiem lēmumiem.</w:t>
      </w:r>
    </w:p>
    <w:p w14:paraId="6B4F1141" w14:textId="77777777" w:rsidR="00AD45FD" w:rsidRPr="00B12CA4" w:rsidRDefault="00AD45FD" w:rsidP="00B12CA4">
      <w:pPr>
        <w:pStyle w:val="Sarakstarindkopa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Ceturtā atlases kārta</w:t>
      </w:r>
      <w:r w:rsidR="00F333AE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5355E259" w14:textId="14589BE6" w:rsidR="00FC7B96" w:rsidRPr="00B12CA4" w:rsidRDefault="00FC7B96" w:rsidP="00B12CA4">
      <w:pPr>
        <w:pStyle w:val="Sarakstarindkopa"/>
        <w:numPr>
          <w:ilvl w:val="2"/>
          <w:numId w:val="5"/>
        </w:numPr>
        <w:spacing w:after="0" w:line="240" w:lineRule="auto"/>
        <w:ind w:left="1701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Šīs kārtas mērķis ir izvēlēties </w:t>
      </w:r>
      <w:r w:rsidR="00CF5DA2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atbilstošāko</w:t>
      </w:r>
      <w:r w:rsidR="006D2D03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pretendentu </w:t>
      </w:r>
      <w:proofErr w:type="spellStart"/>
      <w:r w:rsidR="00F66FEB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tenūr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profesora</w:t>
      </w:r>
      <w:proofErr w:type="spellEnd"/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amatā</w:t>
      </w:r>
      <w:r w:rsidR="00B67567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20D9545D" w14:textId="77777777" w:rsidR="00D435B7" w:rsidRPr="00B12CA4" w:rsidRDefault="00E827AB" w:rsidP="00B12CA4">
      <w:pPr>
        <w:pStyle w:val="Sarakstarindkopa"/>
        <w:numPr>
          <w:ilvl w:val="2"/>
          <w:numId w:val="5"/>
        </w:numPr>
        <w:spacing w:after="0" w:line="240" w:lineRule="auto"/>
        <w:ind w:left="1701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Profesoru padome </w:t>
      </w:r>
      <w:r w:rsidR="00EA65B7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balsojot </w:t>
      </w:r>
      <w:r w:rsidR="00A84A43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pieņem lēmumu, ņemot vērā otrās un trešās </w:t>
      </w:r>
      <w:r w:rsidR="006B7BC0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atlases </w:t>
      </w:r>
      <w:r w:rsidR="00A84A43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kārtas rezultātus</w:t>
      </w:r>
      <w:r w:rsidR="006B7BC0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C863A11" w14:textId="77777777" w:rsidR="00A84A43" w:rsidRPr="00B12CA4" w:rsidRDefault="00A84A43" w:rsidP="00B12CA4">
      <w:pPr>
        <w:pStyle w:val="Sarakstarindkopa"/>
        <w:numPr>
          <w:ilvl w:val="2"/>
          <w:numId w:val="5"/>
        </w:numPr>
        <w:spacing w:after="0" w:line="240" w:lineRule="auto"/>
        <w:ind w:left="1701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Ja profesoru padomei lēmuma pieņemšanas procesā ir nepieciešama papildu informācija vai rodas papildu jautājumi pretendentiem, Personāla nodaļa organizē papildu tikšan</w:t>
      </w:r>
      <w:r w:rsidR="00763B23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o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s vai informācija</w:t>
      </w:r>
      <w:r w:rsidR="00763B23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929C0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apkopošanu</w:t>
      </w:r>
      <w:r w:rsidR="00B67567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546E868D" w14:textId="77777777" w:rsidR="00A84A43" w:rsidRPr="00B12CA4" w:rsidRDefault="00A84A43" w:rsidP="00B12CA4">
      <w:pPr>
        <w:pStyle w:val="Sarakstarindkopa"/>
        <w:numPr>
          <w:ilvl w:val="2"/>
          <w:numId w:val="5"/>
        </w:numPr>
        <w:spacing w:after="0" w:line="240" w:lineRule="auto"/>
        <w:ind w:left="1701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Personāla nodaļa informē pretendentus ar pieņemtajiem lēmumiem.</w:t>
      </w:r>
    </w:p>
    <w:p w14:paraId="2F2CAA09" w14:textId="77777777" w:rsidR="001461C8" w:rsidRPr="00B12CA4" w:rsidRDefault="001461C8" w:rsidP="00B12CA4">
      <w:pPr>
        <w:pStyle w:val="Sarakstarindkopa"/>
        <w:numPr>
          <w:ilvl w:val="1"/>
          <w:numId w:val="5"/>
        </w:numPr>
        <w:spacing w:after="0" w:line="24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Konkursa dokumentu noformēšana un glabāšana tiek nodrošināta saskaņā ar RTU lietu nomenklatūru.</w:t>
      </w:r>
    </w:p>
    <w:p w14:paraId="5F83FACD" w14:textId="0E433DF0" w:rsidR="001461C8" w:rsidRPr="003F3E0C" w:rsidRDefault="001461C8" w:rsidP="003F3E0C">
      <w:pPr>
        <w:pStyle w:val="Sarakstarindkopa"/>
        <w:numPr>
          <w:ilvl w:val="1"/>
          <w:numId w:val="5"/>
        </w:numPr>
        <w:spacing w:after="0" w:line="240" w:lineRule="auto"/>
        <w:ind w:left="851" w:hanging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F3E0C">
        <w:rPr>
          <w:rFonts w:ascii="Times New Roman" w:eastAsia="Times New Roman" w:hAnsi="Times New Roman" w:cs="Times New Roman"/>
          <w:sz w:val="24"/>
          <w:szCs w:val="24"/>
          <w:lang w:eastAsia="lv-LV"/>
        </w:rPr>
        <w:t>Pretendentiem ir tiesības apstrīdēt lēmumu vai iesniegt sūdzību</w:t>
      </w:r>
      <w:r w:rsidR="00A929C0" w:rsidRPr="003F3E0C">
        <w:rPr>
          <w:rFonts w:ascii="Times New Roman" w:eastAsia="Times New Roman" w:hAnsi="Times New Roman" w:cs="Times New Roman"/>
          <w:sz w:val="24"/>
          <w:szCs w:val="24"/>
          <w:lang w:eastAsia="lv-LV"/>
        </w:rPr>
        <w:t>/pretenziju</w:t>
      </w:r>
      <w:r w:rsidR="003F3E0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pieņemto lēmumu</w:t>
      </w:r>
      <w:r w:rsidR="00763B23" w:rsidRPr="003F3E0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3F3E0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Sūdzība </w:t>
      </w:r>
      <w:r w:rsidRPr="003F3E0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tiek izskatīta </w:t>
      </w:r>
      <w:r w:rsidR="00907980" w:rsidRPr="003F3E0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RTU Šķīrējtiesā.</w:t>
      </w:r>
    </w:p>
    <w:p w14:paraId="65397B03" w14:textId="77777777" w:rsidR="00BB41A6" w:rsidRPr="003F3E0C" w:rsidRDefault="00BB41A6" w:rsidP="00B1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69311B8C" w14:textId="02001A1C" w:rsidR="000C54C9" w:rsidRPr="003F3E0C" w:rsidRDefault="00BB25A3" w:rsidP="00B12CA4">
      <w:pPr>
        <w:pStyle w:val="Sarakstarindkop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proofErr w:type="spellStart"/>
      <w:r w:rsidRPr="003F3E0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Tenūr</w:t>
      </w:r>
      <w:r w:rsidR="000C54C9" w:rsidRPr="003F3E0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profesora</w:t>
      </w:r>
      <w:proofErr w:type="spellEnd"/>
      <w:r w:rsidR="000C54C9" w:rsidRPr="003F3E0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ievadīšana darbā</w:t>
      </w:r>
    </w:p>
    <w:p w14:paraId="1BFAB48F" w14:textId="51DED6F0" w:rsidR="001D11E5" w:rsidRPr="003F3E0C" w:rsidRDefault="00BB25A3" w:rsidP="00B12CA4">
      <w:pPr>
        <w:pStyle w:val="Sarakstarindkopa"/>
        <w:numPr>
          <w:ilvl w:val="0"/>
          <w:numId w:val="37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3F3E0C">
        <w:rPr>
          <w:rFonts w:ascii="Times New Roman" w:eastAsia="Times New Roman" w:hAnsi="Times New Roman" w:cs="Times New Roman"/>
          <w:sz w:val="24"/>
          <w:szCs w:val="24"/>
          <w:lang w:eastAsia="lv-LV"/>
        </w:rPr>
        <w:t>Tenūr</w:t>
      </w:r>
      <w:r w:rsidR="001D11E5" w:rsidRPr="003F3E0C">
        <w:rPr>
          <w:rFonts w:ascii="Times New Roman" w:eastAsia="Times New Roman" w:hAnsi="Times New Roman" w:cs="Times New Roman"/>
          <w:sz w:val="24"/>
          <w:szCs w:val="24"/>
          <w:lang w:eastAsia="lv-LV"/>
        </w:rPr>
        <w:t>profesors</w:t>
      </w:r>
      <w:proofErr w:type="spellEnd"/>
      <w:r w:rsidR="001D11E5" w:rsidRPr="003F3E0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strādā fakultātes dekāna tiešā pakļautībā. </w:t>
      </w:r>
      <w:r w:rsidR="008E05C2" w:rsidRPr="003F3E0C">
        <w:rPr>
          <w:rFonts w:ascii="Times New Roman" w:eastAsia="Times New Roman" w:hAnsi="Times New Roman" w:cs="Times New Roman"/>
          <w:sz w:val="24"/>
          <w:szCs w:val="24"/>
          <w:lang w:eastAsia="lv-LV"/>
        </w:rPr>
        <w:t>Dekāns pēc 3 (trīs) gadu atbilstības novērtēšanas perioda vai tā laikā var pārskatīt pastāvīgās nodarbinātības (</w:t>
      </w:r>
      <w:proofErr w:type="spellStart"/>
      <w:r w:rsidR="008E05C2" w:rsidRPr="003F3E0C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Tenure</w:t>
      </w:r>
      <w:proofErr w:type="spellEnd"/>
      <w:r w:rsidR="008E05C2" w:rsidRPr="003F3E0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profesora un viņa izveidotās struktūrvienības pakļautību. </w:t>
      </w:r>
    </w:p>
    <w:p w14:paraId="7BED9E99" w14:textId="0325870B" w:rsidR="00242867" w:rsidRPr="003F3E0C" w:rsidRDefault="00907980" w:rsidP="00B12CA4">
      <w:pPr>
        <w:pStyle w:val="Sarakstarindkopa"/>
        <w:numPr>
          <w:ilvl w:val="0"/>
          <w:numId w:val="37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3F3E0C"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="00F66FEB" w:rsidRPr="003F3E0C">
        <w:rPr>
          <w:rFonts w:ascii="Times New Roman" w:eastAsia="Times New Roman" w:hAnsi="Times New Roman" w:cs="Times New Roman"/>
          <w:sz w:val="24"/>
          <w:szCs w:val="24"/>
          <w:lang w:eastAsia="lv-LV"/>
        </w:rPr>
        <w:t>enūr</w:t>
      </w:r>
      <w:r w:rsidR="00242867" w:rsidRPr="003F3E0C">
        <w:rPr>
          <w:rFonts w:ascii="Times New Roman" w:eastAsia="Times New Roman" w:hAnsi="Times New Roman" w:cs="Times New Roman"/>
          <w:sz w:val="24"/>
          <w:szCs w:val="24"/>
          <w:lang w:eastAsia="lv-LV"/>
        </w:rPr>
        <w:t>profesors</w:t>
      </w:r>
      <w:proofErr w:type="spellEnd"/>
      <w:r w:rsidR="00242867" w:rsidRPr="003F3E0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vienojas</w:t>
      </w:r>
      <w:r w:rsidR="007E0A3B" w:rsidRPr="003F3E0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 fakultātes dekānu</w:t>
      </w:r>
      <w:r w:rsidR="00242867" w:rsidRPr="003F3E0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sasniedzamajiem mērķiem</w:t>
      </w:r>
      <w:r w:rsidR="009B75AF" w:rsidRPr="003F3E0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īstermiņā (2–3 gadi) un ilgtermiņā (6 gadi).</w:t>
      </w:r>
    </w:p>
    <w:p w14:paraId="51BA599B" w14:textId="20F03286" w:rsidR="00907980" w:rsidRPr="003F3E0C" w:rsidRDefault="00907980" w:rsidP="00B12CA4">
      <w:pPr>
        <w:pStyle w:val="Sarakstarindkopa"/>
        <w:numPr>
          <w:ilvl w:val="0"/>
          <w:numId w:val="37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F3E0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Pēc vienošanās ar dekānu par 8.2. punktā norādīto, rektors slēdz darba līgumu ar </w:t>
      </w:r>
      <w:proofErr w:type="spellStart"/>
      <w:r w:rsidRPr="003F3E0C">
        <w:rPr>
          <w:rFonts w:ascii="Times New Roman" w:eastAsia="Times New Roman" w:hAnsi="Times New Roman" w:cs="Times New Roman"/>
          <w:sz w:val="24"/>
          <w:szCs w:val="24"/>
          <w:lang w:eastAsia="lv-LV"/>
        </w:rPr>
        <w:t>tenūrprofesoru</w:t>
      </w:r>
      <w:proofErr w:type="spellEnd"/>
      <w:r w:rsidRPr="003F3E0C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65EA4CD0" w14:textId="450567EC" w:rsidR="009B75AF" w:rsidRPr="00B12CA4" w:rsidRDefault="007E0A3B" w:rsidP="00B12CA4">
      <w:pPr>
        <w:pStyle w:val="Sarakstarindkopa"/>
        <w:numPr>
          <w:ilvl w:val="0"/>
          <w:numId w:val="37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F3E0C">
        <w:rPr>
          <w:rFonts w:ascii="Times New Roman" w:eastAsia="Times New Roman" w:hAnsi="Times New Roman" w:cs="Times New Roman"/>
          <w:sz w:val="24"/>
          <w:szCs w:val="24"/>
          <w:lang w:eastAsia="lv-LV"/>
        </w:rPr>
        <w:t>Dekāns</w:t>
      </w:r>
      <w:r w:rsidR="009B75AF" w:rsidRPr="003F3E0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nodrošina </w:t>
      </w:r>
      <w:proofErr w:type="spellStart"/>
      <w:r w:rsidR="00F66FEB" w:rsidRPr="003F3E0C"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="00F66FEB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enūr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profesoru</w:t>
      </w:r>
      <w:proofErr w:type="spellEnd"/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B75AF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iepazīstināšanu 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</w:t>
      </w:r>
      <w:r w:rsidR="008E05C2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darba organizācijas un dokumentu aprites, komunikācijas</w:t>
      </w:r>
      <w:r w:rsidR="009B75AF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proces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iem</w:t>
      </w:r>
      <w:r w:rsidR="009B75AF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fakultāt</w:t>
      </w:r>
      <w:r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ē</w:t>
      </w:r>
      <w:r w:rsidR="009B75AF" w:rsidRPr="00B12CA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6891C3DE" w14:textId="77777777" w:rsidR="00EE0386" w:rsidRPr="00B12CA4" w:rsidRDefault="00EE0386" w:rsidP="00B12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B14029A" w14:textId="47E98863" w:rsidR="00EE0386" w:rsidRDefault="00EE0386" w:rsidP="00B1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65221F72" w14:textId="691D3E50" w:rsidR="003F3E0C" w:rsidRDefault="003F3E0C" w:rsidP="00B1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21EC8477" w14:textId="11B85598" w:rsidR="003F3E0C" w:rsidRPr="00B12CA4" w:rsidRDefault="003F3E0C" w:rsidP="00B1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Senāta priekšsēdētāja                                                                       E. Gaile- Sarkane</w:t>
      </w:r>
    </w:p>
    <w:p w14:paraId="09B49774" w14:textId="77777777" w:rsidR="00EE0386" w:rsidRPr="00B12CA4" w:rsidRDefault="00EE0386" w:rsidP="00B1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26C50BC9" w14:textId="77777777" w:rsidR="003F3E0C" w:rsidRDefault="003F3E0C" w:rsidP="00B1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7022F7E2" w14:textId="5AD53F79" w:rsidR="00EE0386" w:rsidRPr="00B12CA4" w:rsidRDefault="003F3E0C" w:rsidP="00B1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Sagatavoja Z</w:t>
      </w:r>
      <w:r w:rsidR="00DA65EB" w:rsidRPr="00B12CA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inātņu prorektor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 dienests</w:t>
      </w:r>
    </w:p>
    <w:p w14:paraId="088C8288" w14:textId="77777777" w:rsidR="00DA65EB" w:rsidRPr="00B12CA4" w:rsidRDefault="00DA65EB" w:rsidP="00B1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11783E67" w14:textId="77777777" w:rsidR="00EE0386" w:rsidRPr="00B12CA4" w:rsidRDefault="00EE0386" w:rsidP="00B1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4CFEA23A" w14:textId="77777777" w:rsidR="00EE0386" w:rsidRPr="00B12CA4" w:rsidRDefault="00EE0386" w:rsidP="00B1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5FA2565F" w14:textId="77777777" w:rsidR="00EE0386" w:rsidRPr="00B12CA4" w:rsidRDefault="00EE0386" w:rsidP="00B1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71D86967" w14:textId="77777777" w:rsidR="000B320A" w:rsidRPr="00B12CA4" w:rsidRDefault="000B320A" w:rsidP="00B12C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  <w:r w:rsidRPr="00B12CA4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br w:type="page"/>
      </w:r>
    </w:p>
    <w:p w14:paraId="16508E08" w14:textId="77777777" w:rsidR="00EE0386" w:rsidRPr="00B12CA4" w:rsidRDefault="00D073F5" w:rsidP="00B12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B12CA4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lastRenderedPageBreak/>
        <w:t xml:space="preserve">1. </w:t>
      </w:r>
      <w:r w:rsidR="00EE0386" w:rsidRPr="00B12CA4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PIELIKUMS</w:t>
      </w:r>
    </w:p>
    <w:p w14:paraId="2B6574E4" w14:textId="321EA847" w:rsidR="00EE0386" w:rsidRPr="00B12CA4" w:rsidRDefault="00C578D7" w:rsidP="00B12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  <w:r w:rsidRPr="00B12CA4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 xml:space="preserve">Pretendentu vērtēšanas kritēriji un prasības </w:t>
      </w:r>
      <w:r w:rsidR="00EE0386" w:rsidRPr="00B12CA4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ievēlēšana</w:t>
      </w:r>
      <w:r w:rsidRPr="00B12CA4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i</w:t>
      </w:r>
      <w:r w:rsidR="00EE0386" w:rsidRPr="00B12C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lv-LV" w:eastAsia="lv-LV"/>
        </w:rPr>
        <w:t xml:space="preserve"> </w:t>
      </w:r>
      <w:proofErr w:type="spellStart"/>
      <w:r w:rsidR="001F787D" w:rsidRPr="00B12CA4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tenūras</w:t>
      </w:r>
      <w:proofErr w:type="spellEnd"/>
      <w:r w:rsidR="00EE0386" w:rsidRPr="00B12CA4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 xml:space="preserve"> profesora amatā </w:t>
      </w:r>
    </w:p>
    <w:p w14:paraId="6E421A34" w14:textId="77777777" w:rsidR="00621DBA" w:rsidRPr="00B12CA4" w:rsidRDefault="00621DBA" w:rsidP="00B1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78F432C0" w14:textId="77777777" w:rsidR="00621DBA" w:rsidRPr="00B12CA4" w:rsidRDefault="00621DBA" w:rsidP="00B1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4B4BE550" w14:textId="77777777" w:rsidR="001A1C22" w:rsidRPr="00B12CA4" w:rsidRDefault="008D6238" w:rsidP="00B12C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proofErr w:type="spellStart"/>
      <w:r w:rsidRPr="00B12CA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Tenūras</w:t>
      </w:r>
      <w:proofErr w:type="spellEnd"/>
      <w:r w:rsidR="001A1C22" w:rsidRPr="00B12CA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profesoru amata pretendentu atbilstību prasībām vērtē par </w:t>
      </w:r>
      <w:r w:rsidR="001F74B0" w:rsidRPr="00B12CA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sniegumu </w:t>
      </w:r>
      <w:r w:rsidR="00D14EFD" w:rsidRPr="00B12CA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iepriekšējo</w:t>
      </w:r>
      <w:r w:rsidRPr="00B12CA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="001A1C22" w:rsidRPr="00B12CA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6 </w:t>
      </w:r>
      <w:r w:rsidR="001F74B0" w:rsidRPr="00B12CA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(sešu) </w:t>
      </w:r>
      <w:r w:rsidR="001A1C22" w:rsidRPr="00B12CA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gad</w:t>
      </w:r>
      <w:r w:rsidR="001F74B0" w:rsidRPr="00B12CA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u laikā</w:t>
      </w:r>
      <w:r w:rsidR="00BD6B88" w:rsidRPr="00B12CA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 I</w:t>
      </w:r>
      <w:r w:rsidR="001A1C22" w:rsidRPr="00B12CA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zņēmuma gadījumi norādīti iekavās tabulā. Šie kritēriji</w:t>
      </w:r>
      <w:r w:rsidR="00BD6B88" w:rsidRPr="00B12CA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un to rādītāji </w:t>
      </w:r>
      <w:r w:rsidR="001A1C22" w:rsidRPr="00B12CA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ir t</w:t>
      </w:r>
      <w:r w:rsidR="00BD6B88" w:rsidRPr="00B12CA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urpmāk jāizmanto pastāvīgās </w:t>
      </w:r>
      <w:proofErr w:type="spellStart"/>
      <w:r w:rsidR="00D14EFD" w:rsidRPr="00B12CA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tenūras</w:t>
      </w:r>
      <w:proofErr w:type="spellEnd"/>
      <w:r w:rsidRPr="00B12CA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="001A1C22" w:rsidRPr="00B12CA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profesora darbības mērķu noteikšanai un regulārai snieguma vērtēšanai</w:t>
      </w:r>
      <w:r w:rsidR="00BD6B88" w:rsidRPr="00B12CA4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39A907C1" w14:textId="77777777" w:rsidR="000229D3" w:rsidRPr="00B12CA4" w:rsidRDefault="001A1C22" w:rsidP="00B12C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B12CA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Vērtējumu punktos (5 </w:t>
      </w:r>
      <w:r w:rsidR="00BD6B88" w:rsidRPr="00B12CA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- </w:t>
      </w:r>
      <w:r w:rsidRPr="00B12CA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izcili, 4 </w:t>
      </w:r>
      <w:r w:rsidR="001F74B0" w:rsidRPr="00B12CA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–</w:t>
      </w:r>
      <w:r w:rsidRPr="00B12CA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ļoti labi, 3 </w:t>
      </w:r>
      <w:r w:rsidR="001F74B0" w:rsidRPr="00B12CA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–</w:t>
      </w:r>
      <w:r w:rsidRPr="00B12CA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labi, 2 – apmierinoši, 1 </w:t>
      </w:r>
      <w:r w:rsidR="001F74B0" w:rsidRPr="00B12CA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–</w:t>
      </w:r>
      <w:r w:rsidRPr="00B12CA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neapmierinoši </w:t>
      </w:r>
      <w:r w:rsidR="00BD6B88" w:rsidRPr="00B12CA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un</w:t>
      </w:r>
      <w:r w:rsidRPr="00B12CA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0 – nevar novērtēt) un vērtējuma īsu pamatojumu ieraksta vērtēšanas rezultātu tabulā.</w:t>
      </w:r>
    </w:p>
    <w:p w14:paraId="249B3ADA" w14:textId="77777777" w:rsidR="00A06B5E" w:rsidRPr="00B12CA4" w:rsidRDefault="00A06B5E" w:rsidP="00B1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722D7876" w14:textId="77777777" w:rsidR="00A06B5E" w:rsidRPr="00B12CA4" w:rsidRDefault="00A06B5E" w:rsidP="00B12C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B12CA4">
        <w:rPr>
          <w:rFonts w:ascii="Times New Roman" w:hAnsi="Times New Roman" w:cs="Times New Roman"/>
          <w:b/>
          <w:sz w:val="24"/>
          <w:szCs w:val="24"/>
          <w:lang w:val="lv-LV"/>
        </w:rPr>
        <w:t xml:space="preserve">ZINĀTNISKĀ DARBĪBA </w:t>
      </w:r>
    </w:p>
    <w:p w14:paraId="55733AB5" w14:textId="77777777" w:rsidR="00A06B5E" w:rsidRPr="00B12CA4" w:rsidRDefault="003C3792" w:rsidP="00B12C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</w:pPr>
      <w:r w:rsidRPr="00B12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>1.</w:t>
      </w:r>
      <w:r w:rsidR="00E200E1" w:rsidRPr="00B12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> </w:t>
      </w:r>
      <w:r w:rsidRPr="00B12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>k</w:t>
      </w:r>
      <w:r w:rsidR="00A06B5E" w:rsidRPr="00B12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>ritērijs</w:t>
      </w:r>
      <w:r w:rsidRPr="00B12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 xml:space="preserve">: </w:t>
      </w:r>
      <w:r w:rsidR="00A06B5E" w:rsidRPr="00B12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 xml:space="preserve">Publikācijas un </w:t>
      </w:r>
      <w:proofErr w:type="spellStart"/>
      <w:r w:rsidR="00A06B5E" w:rsidRPr="00B12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>citējamība</w:t>
      </w:r>
      <w:proofErr w:type="spellEnd"/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20"/>
        <w:gridCol w:w="3100"/>
        <w:gridCol w:w="2261"/>
        <w:gridCol w:w="2399"/>
        <w:gridCol w:w="1216"/>
      </w:tblGrid>
      <w:tr w:rsidR="003C3792" w:rsidRPr="00B12CA4" w14:paraId="2E9A4555" w14:textId="77777777" w:rsidTr="003C3792">
        <w:tc>
          <w:tcPr>
            <w:tcW w:w="421" w:type="dxa"/>
          </w:tcPr>
          <w:p w14:paraId="40A004B3" w14:textId="77777777" w:rsidR="003C3792" w:rsidRPr="00B12CA4" w:rsidRDefault="003C3792" w:rsidP="00B12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8" w:type="dxa"/>
            <w:vAlign w:val="center"/>
          </w:tcPr>
          <w:p w14:paraId="55E123CA" w14:textId="77777777" w:rsidR="003C3792" w:rsidRPr="00B12CA4" w:rsidRDefault="008D6238" w:rsidP="00B12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Kritērijs</w:t>
            </w:r>
          </w:p>
        </w:tc>
        <w:tc>
          <w:tcPr>
            <w:tcW w:w="2268" w:type="dxa"/>
            <w:vAlign w:val="center"/>
          </w:tcPr>
          <w:p w14:paraId="3926D147" w14:textId="77777777" w:rsidR="003C3792" w:rsidRPr="00B12CA4" w:rsidRDefault="008F2CD0" w:rsidP="00B12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Minimālā p</w:t>
            </w:r>
            <w:r w:rsidR="003C3792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rasība</w:t>
            </w:r>
          </w:p>
        </w:tc>
        <w:tc>
          <w:tcPr>
            <w:tcW w:w="2410" w:type="dxa"/>
            <w:vAlign w:val="center"/>
          </w:tcPr>
          <w:p w14:paraId="213762EB" w14:textId="77777777" w:rsidR="003C3792" w:rsidRPr="00B12CA4" w:rsidRDefault="003C3792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Pretendenta sniegums pēdējo 6</w:t>
            </w:r>
            <w:r w:rsidR="001F74B0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(sešu)</w:t>
            </w: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gadu laikā </w:t>
            </w:r>
          </w:p>
        </w:tc>
        <w:tc>
          <w:tcPr>
            <w:tcW w:w="1179" w:type="dxa"/>
            <w:vAlign w:val="center"/>
          </w:tcPr>
          <w:p w14:paraId="64DA87D8" w14:textId="77777777" w:rsidR="00517F52" w:rsidRPr="00B12CA4" w:rsidRDefault="003C3792" w:rsidP="00B12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Vērtējums</w:t>
            </w:r>
            <w:r w:rsidR="00517F52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(0</w:t>
            </w:r>
            <w:r w:rsidR="00496293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="00517F52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–</w:t>
            </w:r>
            <w:r w:rsidR="00496293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="00517F52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5)</w:t>
            </w:r>
          </w:p>
        </w:tc>
      </w:tr>
      <w:tr w:rsidR="003C3792" w:rsidRPr="00B12CA4" w14:paraId="008450D0" w14:textId="77777777" w:rsidTr="003C3792">
        <w:tc>
          <w:tcPr>
            <w:tcW w:w="421" w:type="dxa"/>
          </w:tcPr>
          <w:p w14:paraId="6F629BE0" w14:textId="77777777" w:rsidR="003C3792" w:rsidRPr="00B12CA4" w:rsidRDefault="003C3792" w:rsidP="00B12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3118" w:type="dxa"/>
          </w:tcPr>
          <w:p w14:paraId="3502E3F3" w14:textId="77777777" w:rsidR="003C3792" w:rsidRPr="00B12CA4" w:rsidRDefault="003C3792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Nozīmīgas publikācijas, to kvalitāte un ietekme, skaits un dinamika; nozīmīgākie darbi </w:t>
            </w:r>
            <w:r w:rsidR="00E02936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humanitā</w:t>
            </w:r>
            <w:r w:rsidR="00723A5C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rās </w:t>
            </w:r>
            <w:r w:rsidR="00E02936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un </w:t>
            </w: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mākslas zinātnēs, to kvalitāte un ietekme. </w:t>
            </w:r>
          </w:p>
          <w:p w14:paraId="4AEFB99E" w14:textId="77777777" w:rsidR="003C3792" w:rsidRPr="00B12CA4" w:rsidRDefault="008D6238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</w:t>
            </w:r>
            <w:r w:rsidR="003C3792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osacījums: publikācijas pasaules vadošajos žurnālos (</w:t>
            </w:r>
            <w:proofErr w:type="spellStart"/>
            <w:r w:rsidR="003C3792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Scimago</w:t>
            </w:r>
            <w:proofErr w:type="spellEnd"/>
            <w:r w:rsidR="003C3792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="003C3792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Journal</w:t>
            </w:r>
            <w:proofErr w:type="spellEnd"/>
            <w:r w:rsidR="003C3792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="003C3792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Rank</w:t>
            </w:r>
            <w:proofErr w:type="spellEnd"/>
            <w:r w:rsidR="003C3792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(SJR) Q1) vai pasaules vadošo konferenču pilna teksta publikāciju izdevumos (ar SJR rādītāju, kas izdevumu ierindo starp attiecīgās zinātnes nozares SJR Q1 žurnāliem).</w:t>
            </w:r>
          </w:p>
        </w:tc>
        <w:tc>
          <w:tcPr>
            <w:tcW w:w="2268" w:type="dxa"/>
          </w:tcPr>
          <w:p w14:paraId="69B0C228" w14:textId="77777777" w:rsidR="003C3792" w:rsidRPr="00B12CA4" w:rsidRDefault="009025FB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</w:t>
            </w:r>
            <w:r w:rsidR="003C3792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ismaz 3</w:t>
            </w:r>
          </w:p>
        </w:tc>
        <w:tc>
          <w:tcPr>
            <w:tcW w:w="2410" w:type="dxa"/>
          </w:tcPr>
          <w:p w14:paraId="3D15579E" w14:textId="77777777" w:rsidR="003C3792" w:rsidRPr="00B12CA4" w:rsidRDefault="003C3792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179" w:type="dxa"/>
          </w:tcPr>
          <w:p w14:paraId="76CF0F21" w14:textId="77777777" w:rsidR="003C3792" w:rsidRPr="00B12CA4" w:rsidRDefault="003C3792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3C3792" w:rsidRPr="00B12CA4" w14:paraId="3B0311E0" w14:textId="77777777" w:rsidTr="003C3792">
        <w:tc>
          <w:tcPr>
            <w:tcW w:w="421" w:type="dxa"/>
          </w:tcPr>
          <w:p w14:paraId="6F1CFDB9" w14:textId="77777777" w:rsidR="003C3792" w:rsidRPr="00B12CA4" w:rsidRDefault="003C3792" w:rsidP="00B12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3118" w:type="dxa"/>
          </w:tcPr>
          <w:p w14:paraId="463E8AF5" w14:textId="77777777" w:rsidR="003C3792" w:rsidRPr="00B12CA4" w:rsidRDefault="003C3792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Hirša indekss (SCOPUS vai </w:t>
            </w:r>
            <w:proofErr w:type="spellStart"/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WoS</w:t>
            </w:r>
            <w:proofErr w:type="spellEnd"/>
            <w:r w:rsidR="00BB519F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, izslēdzot visu autoru </w:t>
            </w:r>
            <w:proofErr w:type="spellStart"/>
            <w:r w:rsidR="00BB519F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pašcitēšanu</w:t>
            </w:r>
            <w:proofErr w:type="spellEnd"/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)</w:t>
            </w:r>
            <w:r w:rsidR="00BD6B88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="002116D8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(</w:t>
            </w:r>
            <w:r w:rsidR="002116D8" w:rsidRPr="00B12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visas zinātnieka karjeras laikā</w:t>
            </w:r>
            <w:r w:rsidR="002116D8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)</w:t>
            </w:r>
            <w:r w:rsidR="00205050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</w:t>
            </w:r>
          </w:p>
          <w:p w14:paraId="6865BBD5" w14:textId="77777777" w:rsidR="003C3792" w:rsidRPr="00B12CA4" w:rsidRDefault="003C3792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</w:tcPr>
          <w:p w14:paraId="21E3CAA0" w14:textId="77777777" w:rsidR="003C3792" w:rsidRPr="00B12CA4" w:rsidRDefault="00FB72CA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</w:t>
            </w:r>
            <w:r w:rsidR="003C3792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ismaz 12; </w:t>
            </w:r>
          </w:p>
          <w:p w14:paraId="3AE11359" w14:textId="77777777" w:rsidR="003C3792" w:rsidRPr="00B12CA4" w:rsidRDefault="00FB72CA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(</w:t>
            </w:r>
            <w:r w:rsidR="003C3792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vismaz 10 jaunajiem zinātniekiem (</w:t>
            </w:r>
            <w:r w:rsidR="0048688F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šeit un turpmāk - </w:t>
            </w:r>
            <w:r w:rsidR="003C3792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zināt</w:t>
            </w:r>
            <w:r w:rsidR="0048688F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ņu</w:t>
            </w:r>
            <w:r w:rsidR="003C3792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doktora grāds iegūts pēdējo 10 gadu laikā)</w:t>
            </w: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</w:t>
            </w:r>
          </w:p>
          <w:p w14:paraId="67B01226" w14:textId="29C69A5E" w:rsidR="000849D5" w:rsidRPr="00B12CA4" w:rsidRDefault="002339F4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</w:t>
            </w:r>
            <w:r w:rsidR="000849D5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ociālo zinātņu nozarēs minimālais Hirša indekss</w:t>
            </w:r>
            <w:r w:rsidR="008D6238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– 7, </w:t>
            </w:r>
            <w:r w:rsidR="00296B1E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Humanitār</w:t>
            </w:r>
            <w:r w:rsidR="00C33440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aj</w:t>
            </w:r>
            <w:r w:rsidR="00296B1E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ās un mākslas zinātnēs</w:t>
            </w:r>
            <w:r w:rsidR="005E6E39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="005E6E39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zināt</w:t>
            </w:r>
            <w:r w:rsidR="00723A5C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nes </w:t>
            </w: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nozarēs</w:t>
            </w:r>
            <w:r w:rsidR="005E6E39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–</w:t>
            </w: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vismaz 1.</w:t>
            </w:r>
          </w:p>
        </w:tc>
        <w:tc>
          <w:tcPr>
            <w:tcW w:w="2410" w:type="dxa"/>
          </w:tcPr>
          <w:p w14:paraId="68B52D52" w14:textId="77777777" w:rsidR="003C3792" w:rsidRPr="00B12CA4" w:rsidRDefault="003C3792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179" w:type="dxa"/>
          </w:tcPr>
          <w:p w14:paraId="099883C0" w14:textId="77777777" w:rsidR="003C3792" w:rsidRPr="00B12CA4" w:rsidRDefault="003C3792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3C3792" w:rsidRPr="00B12CA4" w14:paraId="258A3602" w14:textId="77777777" w:rsidTr="00DE7986">
        <w:tc>
          <w:tcPr>
            <w:tcW w:w="9396" w:type="dxa"/>
            <w:gridSpan w:val="5"/>
          </w:tcPr>
          <w:p w14:paraId="7FD18FE5" w14:textId="77777777" w:rsidR="003C3792" w:rsidRPr="00B12CA4" w:rsidRDefault="003C3792" w:rsidP="00B12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Vērtējuma pamatojums: [ierakstīt]</w:t>
            </w:r>
          </w:p>
        </w:tc>
      </w:tr>
    </w:tbl>
    <w:p w14:paraId="4246C145" w14:textId="77777777" w:rsidR="003C3792" w:rsidRPr="00B12CA4" w:rsidRDefault="003C3792" w:rsidP="00B12C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2F71460A" w14:textId="77777777" w:rsidR="003C3792" w:rsidRPr="00B12CA4" w:rsidRDefault="003C3792" w:rsidP="00B12C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</w:pPr>
    </w:p>
    <w:p w14:paraId="2798BC89" w14:textId="77777777" w:rsidR="003C3792" w:rsidRPr="00B12CA4" w:rsidRDefault="003C3792" w:rsidP="00B12C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</w:pPr>
      <w:r w:rsidRPr="00B12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>2.</w:t>
      </w:r>
      <w:r w:rsidR="00E200E1" w:rsidRPr="00B12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> </w:t>
      </w:r>
      <w:r w:rsidRPr="00B12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 xml:space="preserve">kritērijs: </w:t>
      </w:r>
      <w:r w:rsidR="00517F52" w:rsidRPr="00B12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 xml:space="preserve">Finansējuma piesaiste zinātniskos projektos, zinātniskos līgumdarbos un </w:t>
      </w:r>
      <w:proofErr w:type="spellStart"/>
      <w:r w:rsidR="00517F52" w:rsidRPr="00B12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>valorizācijas</w:t>
      </w:r>
      <w:proofErr w:type="spellEnd"/>
      <w:r w:rsidR="00517F52" w:rsidRPr="00B12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 xml:space="preserve"> procesā; zinātnisko projektu vadība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20"/>
        <w:gridCol w:w="3100"/>
        <w:gridCol w:w="2262"/>
        <w:gridCol w:w="2398"/>
        <w:gridCol w:w="1216"/>
      </w:tblGrid>
      <w:tr w:rsidR="003C3792" w:rsidRPr="00B12CA4" w14:paraId="07D83C84" w14:textId="77777777" w:rsidTr="006A523E">
        <w:tc>
          <w:tcPr>
            <w:tcW w:w="421" w:type="dxa"/>
          </w:tcPr>
          <w:p w14:paraId="29859183" w14:textId="77777777" w:rsidR="003C3792" w:rsidRPr="00B12CA4" w:rsidRDefault="003C3792" w:rsidP="00B12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8" w:type="dxa"/>
            <w:vAlign w:val="center"/>
          </w:tcPr>
          <w:p w14:paraId="042C1BD8" w14:textId="77777777" w:rsidR="003C3792" w:rsidRPr="00B12CA4" w:rsidRDefault="008D6238" w:rsidP="00B12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Kritērijs</w:t>
            </w:r>
          </w:p>
        </w:tc>
        <w:tc>
          <w:tcPr>
            <w:tcW w:w="2268" w:type="dxa"/>
            <w:vAlign w:val="center"/>
          </w:tcPr>
          <w:p w14:paraId="2B34EB5C" w14:textId="77777777" w:rsidR="003C3792" w:rsidRPr="00B12CA4" w:rsidRDefault="008F2CD0" w:rsidP="00B12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Minimālā prasība</w:t>
            </w:r>
          </w:p>
        </w:tc>
        <w:tc>
          <w:tcPr>
            <w:tcW w:w="2410" w:type="dxa"/>
            <w:vAlign w:val="center"/>
          </w:tcPr>
          <w:p w14:paraId="2836039D" w14:textId="77777777" w:rsidR="003C3792" w:rsidRPr="00B12CA4" w:rsidRDefault="003C3792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Pretendenta sniegums pēdējo 6 gadu laikā </w:t>
            </w:r>
          </w:p>
        </w:tc>
        <w:tc>
          <w:tcPr>
            <w:tcW w:w="1179" w:type="dxa"/>
            <w:vAlign w:val="center"/>
          </w:tcPr>
          <w:p w14:paraId="3B3553AF" w14:textId="77777777" w:rsidR="003C3792" w:rsidRPr="00B12CA4" w:rsidRDefault="00FB22AD" w:rsidP="00B12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Vērtējums (0</w:t>
            </w:r>
            <w:r w:rsidR="00496293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–</w:t>
            </w:r>
            <w:r w:rsidR="00496293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5)</w:t>
            </w:r>
          </w:p>
        </w:tc>
      </w:tr>
      <w:tr w:rsidR="00517F52" w:rsidRPr="00B12CA4" w14:paraId="1D6A9807" w14:textId="77777777" w:rsidTr="006A523E">
        <w:tc>
          <w:tcPr>
            <w:tcW w:w="421" w:type="dxa"/>
          </w:tcPr>
          <w:p w14:paraId="0D964290" w14:textId="77777777" w:rsidR="00517F52" w:rsidRPr="00B12CA4" w:rsidRDefault="00517F52" w:rsidP="00B12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3118" w:type="dxa"/>
          </w:tcPr>
          <w:p w14:paraId="5884410A" w14:textId="77777777" w:rsidR="00517F52" w:rsidRPr="00B12CA4" w:rsidRDefault="00517F52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Spēja piesaistīt finansējumu starptautiskos un nacionāla līmeņa projektu konkursos, kā arī zinātniskos līgumdarbos un </w:t>
            </w:r>
            <w:proofErr w:type="spellStart"/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valorizācijas</w:t>
            </w:r>
            <w:proofErr w:type="spellEnd"/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procesā.</w:t>
            </w:r>
          </w:p>
          <w:p w14:paraId="64BFF559" w14:textId="77777777" w:rsidR="00517F52" w:rsidRPr="00B12CA4" w:rsidRDefault="00517F52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</w:tcPr>
          <w:p w14:paraId="33343392" w14:textId="77777777" w:rsidR="00517F52" w:rsidRPr="00B12CA4" w:rsidRDefault="007E0A3B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Vismaz </w:t>
            </w:r>
            <w:r w:rsidR="00517F52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1,5 milj. EUR (</w:t>
            </w:r>
            <w:proofErr w:type="spellStart"/>
            <w:r w:rsidR="00517F52" w:rsidRPr="00B12C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lv-LV"/>
              </w:rPr>
              <w:t>starpvērtējuma</w:t>
            </w:r>
            <w:proofErr w:type="spellEnd"/>
            <w:r w:rsidR="00517F52" w:rsidRPr="00B12C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lv-LV"/>
              </w:rPr>
              <w:t xml:space="preserve"> periodā RTU jāpiesaista saņemtajam atalgojumam līdzvērtīga summa</w:t>
            </w:r>
            <w:r w:rsidR="00517F52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2410" w:type="dxa"/>
          </w:tcPr>
          <w:p w14:paraId="74AB3284" w14:textId="77777777" w:rsidR="00517F52" w:rsidRPr="00B12CA4" w:rsidRDefault="00517F52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179" w:type="dxa"/>
          </w:tcPr>
          <w:p w14:paraId="66BDE0EB" w14:textId="77777777" w:rsidR="00517F52" w:rsidRPr="00B12CA4" w:rsidRDefault="00517F52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517F52" w:rsidRPr="00B12CA4" w14:paraId="6C3EC687" w14:textId="77777777" w:rsidTr="006A523E">
        <w:tc>
          <w:tcPr>
            <w:tcW w:w="421" w:type="dxa"/>
          </w:tcPr>
          <w:p w14:paraId="1D56F34D" w14:textId="77777777" w:rsidR="00517F52" w:rsidRPr="00B12CA4" w:rsidRDefault="00517F52" w:rsidP="00B12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3118" w:type="dxa"/>
          </w:tcPr>
          <w:p w14:paraId="2BC091A3" w14:textId="77777777" w:rsidR="00517F52" w:rsidRPr="00B12CA4" w:rsidRDefault="00517F52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Zinātnisko projektu vadība vai būtiska iesaiste (galvenais izpildītājs).</w:t>
            </w:r>
          </w:p>
        </w:tc>
        <w:tc>
          <w:tcPr>
            <w:tcW w:w="2268" w:type="dxa"/>
          </w:tcPr>
          <w:p w14:paraId="159FEAB1" w14:textId="77777777" w:rsidR="00517F52" w:rsidRPr="00B12CA4" w:rsidRDefault="007E0A3B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</w:t>
            </w:r>
            <w:r w:rsidR="00517F52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ismaz 3 starptautiski projekti</w:t>
            </w:r>
          </w:p>
        </w:tc>
        <w:tc>
          <w:tcPr>
            <w:tcW w:w="2410" w:type="dxa"/>
          </w:tcPr>
          <w:p w14:paraId="32FB3EED" w14:textId="77777777" w:rsidR="00517F52" w:rsidRPr="00B12CA4" w:rsidRDefault="00517F52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179" w:type="dxa"/>
          </w:tcPr>
          <w:p w14:paraId="6BA9CD88" w14:textId="77777777" w:rsidR="00517F52" w:rsidRPr="00B12CA4" w:rsidRDefault="00517F52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3C3792" w:rsidRPr="00B12CA4" w14:paraId="6F43629B" w14:textId="77777777" w:rsidTr="00DE7986">
        <w:tc>
          <w:tcPr>
            <w:tcW w:w="9396" w:type="dxa"/>
            <w:gridSpan w:val="5"/>
          </w:tcPr>
          <w:p w14:paraId="3F530714" w14:textId="77777777" w:rsidR="003C3792" w:rsidRPr="00B12CA4" w:rsidRDefault="003C3792" w:rsidP="00B12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Vērtējuma pamatojums: [ierakstīt]</w:t>
            </w:r>
          </w:p>
        </w:tc>
      </w:tr>
    </w:tbl>
    <w:p w14:paraId="072AB412" w14:textId="77777777" w:rsidR="00A06B5E" w:rsidRPr="00B12CA4" w:rsidRDefault="00A06B5E" w:rsidP="00B1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0C4ACF6A" w14:textId="77777777" w:rsidR="00517F52" w:rsidRPr="00B12CA4" w:rsidRDefault="002141C3" w:rsidP="00B12CA4">
      <w:pPr>
        <w:tabs>
          <w:tab w:val="left" w:pos="247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</w:pPr>
      <w:r w:rsidRPr="00B12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>3</w:t>
      </w:r>
      <w:r w:rsidR="00517F52" w:rsidRPr="00B12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>.</w:t>
      </w:r>
      <w:r w:rsidR="00E200E1" w:rsidRPr="00B12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> </w:t>
      </w:r>
      <w:r w:rsidR="00517F52" w:rsidRPr="00B12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 xml:space="preserve">kritērijs: </w:t>
      </w:r>
      <w:r w:rsidRPr="00B12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>Doktorantu darbu vadība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21"/>
        <w:gridCol w:w="3099"/>
        <w:gridCol w:w="2261"/>
        <w:gridCol w:w="2399"/>
        <w:gridCol w:w="1216"/>
      </w:tblGrid>
      <w:tr w:rsidR="00517F52" w:rsidRPr="00B12CA4" w14:paraId="652E0DC1" w14:textId="77777777" w:rsidTr="006A523E">
        <w:tc>
          <w:tcPr>
            <w:tcW w:w="421" w:type="dxa"/>
          </w:tcPr>
          <w:p w14:paraId="2D03C3D1" w14:textId="77777777" w:rsidR="00517F52" w:rsidRPr="00B12CA4" w:rsidRDefault="00517F52" w:rsidP="00B12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8" w:type="dxa"/>
            <w:vAlign w:val="center"/>
          </w:tcPr>
          <w:p w14:paraId="047BE625" w14:textId="77777777" w:rsidR="00517F52" w:rsidRPr="00B12CA4" w:rsidRDefault="008D6238" w:rsidP="00B12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Kritērijs</w:t>
            </w:r>
          </w:p>
        </w:tc>
        <w:tc>
          <w:tcPr>
            <w:tcW w:w="2268" w:type="dxa"/>
            <w:vAlign w:val="center"/>
          </w:tcPr>
          <w:p w14:paraId="2038DC48" w14:textId="77777777" w:rsidR="00517F52" w:rsidRPr="00B12CA4" w:rsidRDefault="008F2CD0" w:rsidP="00B12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Minimālā prasība</w:t>
            </w:r>
          </w:p>
        </w:tc>
        <w:tc>
          <w:tcPr>
            <w:tcW w:w="2410" w:type="dxa"/>
            <w:vAlign w:val="center"/>
          </w:tcPr>
          <w:p w14:paraId="40676A88" w14:textId="77777777" w:rsidR="00517F52" w:rsidRPr="00B12CA4" w:rsidRDefault="00517F52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Pretendenta sniegums pēdējo 6 gadu laikā </w:t>
            </w:r>
          </w:p>
        </w:tc>
        <w:tc>
          <w:tcPr>
            <w:tcW w:w="1179" w:type="dxa"/>
            <w:vAlign w:val="center"/>
          </w:tcPr>
          <w:p w14:paraId="5A6EBBF8" w14:textId="77777777" w:rsidR="00517F52" w:rsidRPr="00B12CA4" w:rsidRDefault="00FB22AD" w:rsidP="00B12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Vērtējums (0</w:t>
            </w:r>
            <w:r w:rsidR="00496293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- </w:t>
            </w: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5)</w:t>
            </w:r>
          </w:p>
        </w:tc>
      </w:tr>
      <w:tr w:rsidR="00AD2419" w:rsidRPr="00B12CA4" w14:paraId="0B18AE7C" w14:textId="77777777" w:rsidTr="006A523E">
        <w:tc>
          <w:tcPr>
            <w:tcW w:w="421" w:type="dxa"/>
          </w:tcPr>
          <w:p w14:paraId="32D29E33" w14:textId="77777777" w:rsidR="00AD2419" w:rsidRPr="00B12CA4" w:rsidRDefault="00AD2419" w:rsidP="00B12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3118" w:type="dxa"/>
          </w:tcPr>
          <w:p w14:paraId="550BD262" w14:textId="77777777" w:rsidR="00AD2419" w:rsidRPr="00B12CA4" w:rsidRDefault="00AD2419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Doktorantu darb</w:t>
            </w:r>
            <w:r w:rsidR="008F2CD0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u</w:t>
            </w: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vadība.</w:t>
            </w:r>
          </w:p>
        </w:tc>
        <w:tc>
          <w:tcPr>
            <w:tcW w:w="2268" w:type="dxa"/>
          </w:tcPr>
          <w:p w14:paraId="4192DADC" w14:textId="77777777" w:rsidR="00AD2419" w:rsidRPr="00B12CA4" w:rsidRDefault="007E0A3B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</w:t>
            </w:r>
            <w:r w:rsidR="00AD2419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ismaz 3; </w:t>
            </w:r>
          </w:p>
          <w:p w14:paraId="39E2FAEC" w14:textId="77777777" w:rsidR="00AD2419" w:rsidRPr="00B12CA4" w:rsidRDefault="007E0A3B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(</w:t>
            </w:r>
            <w:r w:rsidR="00AD2419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vismaz 2 jaunajiem zinātniekiem) </w:t>
            </w:r>
          </w:p>
        </w:tc>
        <w:tc>
          <w:tcPr>
            <w:tcW w:w="2410" w:type="dxa"/>
          </w:tcPr>
          <w:p w14:paraId="53C0F0C5" w14:textId="77777777" w:rsidR="00AD2419" w:rsidRPr="00B12CA4" w:rsidRDefault="00AD2419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179" w:type="dxa"/>
          </w:tcPr>
          <w:p w14:paraId="2BE1A8E2" w14:textId="77777777" w:rsidR="00AD2419" w:rsidRPr="00B12CA4" w:rsidRDefault="00AD2419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AD2419" w:rsidRPr="00B12CA4" w14:paraId="266EE818" w14:textId="77777777" w:rsidTr="006A523E">
        <w:tc>
          <w:tcPr>
            <w:tcW w:w="421" w:type="dxa"/>
          </w:tcPr>
          <w:p w14:paraId="4CEA905B" w14:textId="77777777" w:rsidR="00AD2419" w:rsidRPr="00B12CA4" w:rsidRDefault="00AD2419" w:rsidP="00B12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3118" w:type="dxa"/>
          </w:tcPr>
          <w:p w14:paraId="5DB0CD92" w14:textId="77777777" w:rsidR="00AD2419" w:rsidRPr="00B12CA4" w:rsidRDefault="00AD2419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Aizstāvēti promocijas darbi (līdz zinātniskā grāda iegūšanai novadīti doktora darbi).</w:t>
            </w:r>
          </w:p>
        </w:tc>
        <w:tc>
          <w:tcPr>
            <w:tcW w:w="2268" w:type="dxa"/>
          </w:tcPr>
          <w:p w14:paraId="62CB4410" w14:textId="77777777" w:rsidR="00AD2419" w:rsidRPr="00B12CA4" w:rsidRDefault="007E0A3B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</w:t>
            </w:r>
            <w:r w:rsidR="00AD2419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ismaz </w:t>
            </w:r>
            <w:r w:rsidR="002339F4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</w:t>
            </w: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(</w:t>
            </w:r>
            <w:r w:rsidR="00AD2419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vismaz 1 jaunajiem zinātniekiem</w:t>
            </w: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).</w:t>
            </w:r>
          </w:p>
          <w:p w14:paraId="2AFEF47A" w14:textId="77777777" w:rsidR="002339F4" w:rsidRPr="00B12CA4" w:rsidRDefault="009619DA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Sociālo </w:t>
            </w:r>
            <w:r w:rsidR="002339F4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zinātņu un </w:t>
            </w: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Humanitār</w:t>
            </w:r>
            <w:r w:rsidR="00723A5C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ās </w:t>
            </w: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un </w:t>
            </w:r>
            <w:r w:rsidR="002339F4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mākslas </w:t>
            </w: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zināt</w:t>
            </w:r>
            <w:r w:rsidR="00723A5C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nes </w:t>
            </w: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="002339F4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nozarēs </w:t>
            </w: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–</w:t>
            </w:r>
            <w:r w:rsidR="002339F4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atbilstoši MK noteikumiem.</w:t>
            </w:r>
          </w:p>
        </w:tc>
        <w:tc>
          <w:tcPr>
            <w:tcW w:w="2410" w:type="dxa"/>
          </w:tcPr>
          <w:p w14:paraId="11F5BDEC" w14:textId="77777777" w:rsidR="00AD2419" w:rsidRPr="00B12CA4" w:rsidRDefault="00AD2419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179" w:type="dxa"/>
          </w:tcPr>
          <w:p w14:paraId="1B83B2CB" w14:textId="77777777" w:rsidR="00AD2419" w:rsidRPr="00B12CA4" w:rsidRDefault="00AD2419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517F52" w:rsidRPr="00B12CA4" w14:paraId="05390A96" w14:textId="77777777" w:rsidTr="00DE7986">
        <w:tc>
          <w:tcPr>
            <w:tcW w:w="9396" w:type="dxa"/>
            <w:gridSpan w:val="5"/>
          </w:tcPr>
          <w:p w14:paraId="07CAAC1A" w14:textId="77777777" w:rsidR="00517F52" w:rsidRPr="00B12CA4" w:rsidRDefault="00517F52" w:rsidP="00B12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Vērtējuma pamatojums: [ierakstīt]</w:t>
            </w:r>
          </w:p>
        </w:tc>
      </w:tr>
    </w:tbl>
    <w:p w14:paraId="7857C540" w14:textId="77777777" w:rsidR="00517F52" w:rsidRPr="00B12CA4" w:rsidRDefault="00517F52" w:rsidP="00B1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5A372142" w14:textId="77777777" w:rsidR="00391766" w:rsidRPr="00B12CA4" w:rsidRDefault="00391766" w:rsidP="00B12CA4">
      <w:pPr>
        <w:tabs>
          <w:tab w:val="left" w:pos="247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</w:pPr>
      <w:r w:rsidRPr="00B12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>4.</w:t>
      </w:r>
      <w:r w:rsidR="00E200E1" w:rsidRPr="00B12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> </w:t>
      </w:r>
      <w:r w:rsidRPr="00B12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 xml:space="preserve">kritērijs: </w:t>
      </w:r>
      <w:r w:rsidR="00FB22AD" w:rsidRPr="00B12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>Pētniecības plāns nākam</w:t>
      </w:r>
      <w:r w:rsidR="009619DA" w:rsidRPr="00B12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>o</w:t>
      </w:r>
      <w:r w:rsidR="00FB22AD" w:rsidRPr="00B12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 xml:space="preserve"> 6 </w:t>
      </w:r>
      <w:r w:rsidR="009619DA" w:rsidRPr="00B12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 xml:space="preserve">(sešu) </w:t>
      </w:r>
      <w:r w:rsidR="00FB22AD" w:rsidRPr="00B12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>gad</w:t>
      </w:r>
      <w:r w:rsidR="009619DA" w:rsidRPr="00B12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>u laikā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21"/>
        <w:gridCol w:w="7759"/>
        <w:gridCol w:w="1216"/>
      </w:tblGrid>
      <w:tr w:rsidR="00FB22AD" w:rsidRPr="00B12CA4" w14:paraId="281E8E42" w14:textId="77777777" w:rsidTr="00DE7986">
        <w:tc>
          <w:tcPr>
            <w:tcW w:w="421" w:type="dxa"/>
          </w:tcPr>
          <w:p w14:paraId="1003C84E" w14:textId="77777777" w:rsidR="00FB22AD" w:rsidRPr="00B12CA4" w:rsidRDefault="00FB22AD" w:rsidP="00B12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7796" w:type="dxa"/>
            <w:vAlign w:val="center"/>
          </w:tcPr>
          <w:p w14:paraId="7C281E51" w14:textId="77777777" w:rsidR="00FB22AD" w:rsidRPr="00B12CA4" w:rsidRDefault="00FB22AD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Rādītājs</w:t>
            </w:r>
          </w:p>
        </w:tc>
        <w:tc>
          <w:tcPr>
            <w:tcW w:w="1179" w:type="dxa"/>
            <w:vAlign w:val="center"/>
          </w:tcPr>
          <w:p w14:paraId="2A1FFC4B" w14:textId="77777777" w:rsidR="00FB22AD" w:rsidRPr="00B12CA4" w:rsidRDefault="00FB22AD" w:rsidP="00B12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Vērtējums (0</w:t>
            </w:r>
            <w:r w:rsidR="00496293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–</w:t>
            </w:r>
            <w:r w:rsidR="00496293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5)</w:t>
            </w:r>
          </w:p>
        </w:tc>
      </w:tr>
      <w:tr w:rsidR="00FB22AD" w:rsidRPr="00B12CA4" w14:paraId="000B6D15" w14:textId="77777777" w:rsidTr="006A523E">
        <w:tc>
          <w:tcPr>
            <w:tcW w:w="421" w:type="dxa"/>
          </w:tcPr>
          <w:p w14:paraId="3744389E" w14:textId="77777777" w:rsidR="00FB22AD" w:rsidRPr="00B12CA4" w:rsidRDefault="00FB22AD" w:rsidP="00B12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7796" w:type="dxa"/>
          </w:tcPr>
          <w:p w14:paraId="4F3CD98B" w14:textId="77777777" w:rsidR="00FB22AD" w:rsidRPr="00B12CA4" w:rsidRDefault="00FB22AD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Pētniecības plāns </w:t>
            </w:r>
            <w:r w:rsidR="009619DA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nākamo </w:t>
            </w: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6 </w:t>
            </w:r>
            <w:r w:rsidR="009619DA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(sešu) </w:t>
            </w: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gad</w:t>
            </w:r>
            <w:r w:rsidR="009619DA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u laikā</w:t>
            </w:r>
          </w:p>
        </w:tc>
        <w:tc>
          <w:tcPr>
            <w:tcW w:w="1179" w:type="dxa"/>
          </w:tcPr>
          <w:p w14:paraId="6C7282A9" w14:textId="77777777" w:rsidR="00FB22AD" w:rsidRPr="00B12CA4" w:rsidRDefault="00FB22AD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391766" w:rsidRPr="00B12CA4" w14:paraId="153B0A54" w14:textId="77777777" w:rsidTr="00DE7986">
        <w:tc>
          <w:tcPr>
            <w:tcW w:w="9396" w:type="dxa"/>
            <w:gridSpan w:val="3"/>
          </w:tcPr>
          <w:p w14:paraId="51647075" w14:textId="77777777" w:rsidR="00391766" w:rsidRPr="00B12CA4" w:rsidRDefault="00391766" w:rsidP="00B12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Vērtējuma pamatojums: [ierakstīt]</w:t>
            </w:r>
          </w:p>
        </w:tc>
      </w:tr>
    </w:tbl>
    <w:p w14:paraId="1508071E" w14:textId="77777777" w:rsidR="00391766" w:rsidRPr="00B12CA4" w:rsidRDefault="00391766" w:rsidP="00B1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7005D220" w14:textId="77777777" w:rsidR="00391766" w:rsidRPr="00B12CA4" w:rsidRDefault="00391766" w:rsidP="00B12CA4">
      <w:pPr>
        <w:tabs>
          <w:tab w:val="left" w:pos="247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</w:pPr>
      <w:r w:rsidRPr="00B12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>5.</w:t>
      </w:r>
      <w:r w:rsidR="00496293" w:rsidRPr="00B12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 xml:space="preserve"> </w:t>
      </w:r>
      <w:r w:rsidRPr="00B12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 xml:space="preserve">kritērijs: </w:t>
      </w:r>
      <w:r w:rsidR="00FB22AD" w:rsidRPr="00B12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>Citi zinātniskās darbības kritēriji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21"/>
        <w:gridCol w:w="3103"/>
        <w:gridCol w:w="2257"/>
        <w:gridCol w:w="2399"/>
        <w:gridCol w:w="1216"/>
      </w:tblGrid>
      <w:tr w:rsidR="00391766" w:rsidRPr="00B12CA4" w14:paraId="5D3548C6" w14:textId="77777777" w:rsidTr="006A523E">
        <w:tc>
          <w:tcPr>
            <w:tcW w:w="421" w:type="dxa"/>
          </w:tcPr>
          <w:p w14:paraId="2A5B19BA" w14:textId="77777777" w:rsidR="00391766" w:rsidRPr="00B12CA4" w:rsidRDefault="00391766" w:rsidP="00B12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8" w:type="dxa"/>
            <w:vAlign w:val="center"/>
          </w:tcPr>
          <w:p w14:paraId="03F6B10B" w14:textId="77777777" w:rsidR="00391766" w:rsidRPr="00B12CA4" w:rsidRDefault="008D6238" w:rsidP="00B12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Kritērijs</w:t>
            </w:r>
          </w:p>
        </w:tc>
        <w:tc>
          <w:tcPr>
            <w:tcW w:w="2268" w:type="dxa"/>
            <w:vAlign w:val="center"/>
          </w:tcPr>
          <w:p w14:paraId="29F29684" w14:textId="77777777" w:rsidR="00391766" w:rsidRPr="00B12CA4" w:rsidRDefault="008F2CD0" w:rsidP="00B12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Minimālā prasība</w:t>
            </w:r>
          </w:p>
        </w:tc>
        <w:tc>
          <w:tcPr>
            <w:tcW w:w="2410" w:type="dxa"/>
            <w:vAlign w:val="center"/>
          </w:tcPr>
          <w:p w14:paraId="5A84FD2D" w14:textId="77777777" w:rsidR="00391766" w:rsidRPr="00B12CA4" w:rsidRDefault="00391766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Pretendenta sniegums pēdējo 6 gadu laikā </w:t>
            </w:r>
          </w:p>
        </w:tc>
        <w:tc>
          <w:tcPr>
            <w:tcW w:w="1179" w:type="dxa"/>
            <w:vAlign w:val="center"/>
          </w:tcPr>
          <w:p w14:paraId="3AF17C2B" w14:textId="77777777" w:rsidR="00391766" w:rsidRPr="00B12CA4" w:rsidRDefault="00FB22AD" w:rsidP="00B12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Vērtējums (0</w:t>
            </w:r>
            <w:r w:rsidR="00496293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–</w:t>
            </w:r>
            <w:r w:rsidR="00496293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5)</w:t>
            </w:r>
          </w:p>
        </w:tc>
      </w:tr>
      <w:tr w:rsidR="00391766" w:rsidRPr="00B12CA4" w14:paraId="5986345D" w14:textId="77777777" w:rsidTr="00DE7986">
        <w:tc>
          <w:tcPr>
            <w:tcW w:w="421" w:type="dxa"/>
          </w:tcPr>
          <w:p w14:paraId="6035B4E3" w14:textId="77777777" w:rsidR="00391766" w:rsidRPr="00B12CA4" w:rsidRDefault="00391766" w:rsidP="00B12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3118" w:type="dxa"/>
          </w:tcPr>
          <w:p w14:paraId="076943F5" w14:textId="77777777" w:rsidR="00391766" w:rsidRPr="00B12CA4" w:rsidRDefault="00FB22AD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Ziņojumi  starptautiskās zinātniskajās / akadēmiskajās konferencēs, uzaicinājumi konferencēs ar ziņojumiem plenārsēdēs un uzrunas ziņojumi.</w:t>
            </w:r>
          </w:p>
        </w:tc>
        <w:tc>
          <w:tcPr>
            <w:tcW w:w="2268" w:type="dxa"/>
          </w:tcPr>
          <w:p w14:paraId="6C60B929" w14:textId="77777777" w:rsidR="00391766" w:rsidRPr="00B12CA4" w:rsidRDefault="00391766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410" w:type="dxa"/>
          </w:tcPr>
          <w:p w14:paraId="55AC4BB6" w14:textId="77777777" w:rsidR="00391766" w:rsidRPr="00B12CA4" w:rsidRDefault="00391766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179" w:type="dxa"/>
          </w:tcPr>
          <w:p w14:paraId="4DE15BA9" w14:textId="77777777" w:rsidR="00391766" w:rsidRPr="00B12CA4" w:rsidRDefault="00391766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391766" w:rsidRPr="00B12CA4" w14:paraId="1A88D9E4" w14:textId="77777777" w:rsidTr="00DE7986">
        <w:tc>
          <w:tcPr>
            <w:tcW w:w="421" w:type="dxa"/>
          </w:tcPr>
          <w:p w14:paraId="0C93C90D" w14:textId="77777777" w:rsidR="00391766" w:rsidRPr="00B12CA4" w:rsidRDefault="00391766" w:rsidP="00B12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3118" w:type="dxa"/>
          </w:tcPr>
          <w:p w14:paraId="1C94B577" w14:textId="77777777" w:rsidR="00391766" w:rsidRPr="00B12CA4" w:rsidRDefault="009103F5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Publikācijas ar ārzemju līdzautoriem, pētniecības darbs/vizītes ārvalstīs, vadošā loma starptautiskās zinātniskās komitejās, u.tml.</w:t>
            </w:r>
          </w:p>
        </w:tc>
        <w:tc>
          <w:tcPr>
            <w:tcW w:w="2268" w:type="dxa"/>
          </w:tcPr>
          <w:p w14:paraId="1002637C" w14:textId="77777777" w:rsidR="00391766" w:rsidRPr="00B12CA4" w:rsidRDefault="00391766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410" w:type="dxa"/>
          </w:tcPr>
          <w:p w14:paraId="46AF49F0" w14:textId="77777777" w:rsidR="00391766" w:rsidRPr="00B12CA4" w:rsidRDefault="00391766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179" w:type="dxa"/>
          </w:tcPr>
          <w:p w14:paraId="4DB45760" w14:textId="77777777" w:rsidR="00391766" w:rsidRPr="00B12CA4" w:rsidRDefault="00391766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391766" w:rsidRPr="00B12CA4" w14:paraId="350B0563" w14:textId="77777777" w:rsidTr="00DE7986">
        <w:tc>
          <w:tcPr>
            <w:tcW w:w="9396" w:type="dxa"/>
            <w:gridSpan w:val="5"/>
          </w:tcPr>
          <w:p w14:paraId="0F1BB568" w14:textId="77777777" w:rsidR="00391766" w:rsidRPr="00B12CA4" w:rsidRDefault="00391766" w:rsidP="00B12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Vērtējuma pamatojums: [ierakstīt]</w:t>
            </w:r>
          </w:p>
        </w:tc>
      </w:tr>
    </w:tbl>
    <w:p w14:paraId="02DA800F" w14:textId="77777777" w:rsidR="00391766" w:rsidRPr="00B12CA4" w:rsidRDefault="00391766" w:rsidP="00B1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136F71CE" w14:textId="77777777" w:rsidR="009103F5" w:rsidRPr="00B12CA4" w:rsidRDefault="001E6F8E" w:rsidP="00B12C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B12CA4">
        <w:rPr>
          <w:rFonts w:ascii="Times New Roman" w:hAnsi="Times New Roman" w:cs="Times New Roman"/>
          <w:b/>
          <w:sz w:val="24"/>
          <w:szCs w:val="24"/>
          <w:lang w:val="lv-LV"/>
        </w:rPr>
        <w:t>PEDAGOĢISKĀ DARBĪBA</w:t>
      </w:r>
    </w:p>
    <w:p w14:paraId="356DA1B6" w14:textId="77777777" w:rsidR="00391766" w:rsidRPr="00B12CA4" w:rsidRDefault="00391766" w:rsidP="00B12CA4">
      <w:pPr>
        <w:tabs>
          <w:tab w:val="left" w:pos="247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</w:pPr>
      <w:r w:rsidRPr="00B12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>6.</w:t>
      </w:r>
      <w:r w:rsidR="00496293" w:rsidRPr="00B12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 xml:space="preserve"> </w:t>
      </w:r>
      <w:r w:rsidRPr="00B12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 xml:space="preserve">kritērijs: </w:t>
      </w:r>
      <w:r w:rsidR="00B4638B" w:rsidRPr="00B12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>Dalība studiju procesā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21"/>
        <w:gridCol w:w="3102"/>
        <w:gridCol w:w="2257"/>
        <w:gridCol w:w="2400"/>
        <w:gridCol w:w="1216"/>
      </w:tblGrid>
      <w:tr w:rsidR="00391766" w:rsidRPr="00B12CA4" w14:paraId="1D09422C" w14:textId="77777777" w:rsidTr="006A523E">
        <w:tc>
          <w:tcPr>
            <w:tcW w:w="421" w:type="dxa"/>
          </w:tcPr>
          <w:p w14:paraId="49E1A499" w14:textId="77777777" w:rsidR="00391766" w:rsidRPr="00B12CA4" w:rsidRDefault="00391766" w:rsidP="00B12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8" w:type="dxa"/>
            <w:vAlign w:val="center"/>
          </w:tcPr>
          <w:p w14:paraId="7074677B" w14:textId="77777777" w:rsidR="00391766" w:rsidRPr="00B12CA4" w:rsidRDefault="008D6238" w:rsidP="00B12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Kritērijs</w:t>
            </w:r>
          </w:p>
        </w:tc>
        <w:tc>
          <w:tcPr>
            <w:tcW w:w="2268" w:type="dxa"/>
            <w:vAlign w:val="center"/>
          </w:tcPr>
          <w:p w14:paraId="3CB2DB16" w14:textId="77777777" w:rsidR="00391766" w:rsidRPr="00B12CA4" w:rsidRDefault="008F2CD0" w:rsidP="00B12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Minimālā prasība</w:t>
            </w:r>
          </w:p>
        </w:tc>
        <w:tc>
          <w:tcPr>
            <w:tcW w:w="2410" w:type="dxa"/>
            <w:vAlign w:val="center"/>
          </w:tcPr>
          <w:p w14:paraId="348BA925" w14:textId="77777777" w:rsidR="00391766" w:rsidRPr="00B12CA4" w:rsidRDefault="00391766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Pretendenta sniegums pēdējo 6 gadu laikā </w:t>
            </w:r>
          </w:p>
        </w:tc>
        <w:tc>
          <w:tcPr>
            <w:tcW w:w="1179" w:type="dxa"/>
            <w:vAlign w:val="center"/>
          </w:tcPr>
          <w:p w14:paraId="6CE4B539" w14:textId="77777777" w:rsidR="00391766" w:rsidRPr="00B12CA4" w:rsidRDefault="00FB22AD" w:rsidP="00B12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Vērtējums (0</w:t>
            </w:r>
            <w:r w:rsidR="00496293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–</w:t>
            </w:r>
            <w:r w:rsidR="00496293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5)</w:t>
            </w:r>
          </w:p>
        </w:tc>
      </w:tr>
      <w:tr w:rsidR="00391766" w:rsidRPr="00B12CA4" w14:paraId="3CBF55AC" w14:textId="77777777" w:rsidTr="006A523E">
        <w:tc>
          <w:tcPr>
            <w:tcW w:w="421" w:type="dxa"/>
          </w:tcPr>
          <w:p w14:paraId="073C4C35" w14:textId="77777777" w:rsidR="00391766" w:rsidRPr="00B12CA4" w:rsidRDefault="00391766" w:rsidP="00B12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3118" w:type="dxa"/>
          </w:tcPr>
          <w:p w14:paraId="2F4445E7" w14:textId="77777777" w:rsidR="00AB4551" w:rsidRPr="00B12CA4" w:rsidRDefault="00AB4551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Studiju kursu vadīšana.</w:t>
            </w:r>
          </w:p>
          <w:p w14:paraId="693A6EAE" w14:textId="77777777" w:rsidR="00391766" w:rsidRPr="00B12CA4" w:rsidRDefault="00391766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</w:tcPr>
          <w:p w14:paraId="01B4F928" w14:textId="77777777" w:rsidR="00391766" w:rsidRPr="00B12CA4" w:rsidRDefault="00E86360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</w:t>
            </w:r>
            <w:r w:rsidR="00AB4551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ismaz 1</w:t>
            </w:r>
          </w:p>
        </w:tc>
        <w:tc>
          <w:tcPr>
            <w:tcW w:w="2410" w:type="dxa"/>
          </w:tcPr>
          <w:p w14:paraId="16C7353F" w14:textId="77777777" w:rsidR="00391766" w:rsidRPr="00B12CA4" w:rsidRDefault="00391766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179" w:type="dxa"/>
          </w:tcPr>
          <w:p w14:paraId="735270D3" w14:textId="77777777" w:rsidR="00391766" w:rsidRPr="00B12CA4" w:rsidRDefault="00391766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391766" w:rsidRPr="00B12CA4" w14:paraId="043332B0" w14:textId="77777777" w:rsidTr="006A523E">
        <w:tc>
          <w:tcPr>
            <w:tcW w:w="421" w:type="dxa"/>
          </w:tcPr>
          <w:p w14:paraId="13468D9D" w14:textId="77777777" w:rsidR="00391766" w:rsidRPr="00B12CA4" w:rsidRDefault="00391766" w:rsidP="00B12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3118" w:type="dxa"/>
          </w:tcPr>
          <w:p w14:paraId="14B3899E" w14:textId="77777777" w:rsidR="00AB4551" w:rsidRPr="00B12CA4" w:rsidRDefault="00AB4551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Noslēguma darbu (maģistra) vadīšana.</w:t>
            </w:r>
          </w:p>
          <w:p w14:paraId="46B3341C" w14:textId="77777777" w:rsidR="00391766" w:rsidRPr="00B12CA4" w:rsidRDefault="00391766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</w:tcPr>
          <w:p w14:paraId="63E2FB79" w14:textId="77777777" w:rsidR="00391766" w:rsidRPr="00B12CA4" w:rsidRDefault="00E86360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</w:t>
            </w:r>
            <w:r w:rsidR="00AB4551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ismaz 1 </w:t>
            </w: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(viens) </w:t>
            </w:r>
            <w:r w:rsidR="00AB4551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sekmīgi novadīts maģistra darbs</w:t>
            </w:r>
          </w:p>
        </w:tc>
        <w:tc>
          <w:tcPr>
            <w:tcW w:w="2410" w:type="dxa"/>
          </w:tcPr>
          <w:p w14:paraId="15D640FA" w14:textId="77777777" w:rsidR="00391766" w:rsidRPr="00B12CA4" w:rsidRDefault="00391766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179" w:type="dxa"/>
          </w:tcPr>
          <w:p w14:paraId="57877F80" w14:textId="77777777" w:rsidR="00391766" w:rsidRPr="00B12CA4" w:rsidRDefault="00391766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EF38AC" w:rsidRPr="00B12CA4" w14:paraId="1E3062D4" w14:textId="77777777" w:rsidTr="006A523E">
        <w:tc>
          <w:tcPr>
            <w:tcW w:w="421" w:type="dxa"/>
          </w:tcPr>
          <w:p w14:paraId="3B2C2D9B" w14:textId="77777777" w:rsidR="00EF38AC" w:rsidRPr="00B12CA4" w:rsidRDefault="00EF38AC" w:rsidP="00B12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3.</w:t>
            </w:r>
          </w:p>
        </w:tc>
        <w:tc>
          <w:tcPr>
            <w:tcW w:w="3118" w:type="dxa"/>
          </w:tcPr>
          <w:p w14:paraId="28DE5878" w14:textId="77777777" w:rsidR="00EF38AC" w:rsidRPr="00B12CA4" w:rsidRDefault="00AB4551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Studiju kursa vai moduļa vadīšana ārvalstīs, </w:t>
            </w:r>
            <w:proofErr w:type="spellStart"/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vieslekcijas</w:t>
            </w:r>
            <w:proofErr w:type="spellEnd"/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ārvalstīs (t.</w:t>
            </w:r>
            <w:r w:rsidR="00652C6D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sk. zinātniskās </w:t>
            </w:r>
            <w:proofErr w:type="spellStart"/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vieslekcijas</w:t>
            </w:r>
            <w:proofErr w:type="spellEnd"/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), dalība starptautisku internetā balstītu studiju kursu izveidē, nodarbības ārvalstu studentiem.</w:t>
            </w:r>
          </w:p>
        </w:tc>
        <w:tc>
          <w:tcPr>
            <w:tcW w:w="2268" w:type="dxa"/>
          </w:tcPr>
          <w:p w14:paraId="74F4C02B" w14:textId="77777777" w:rsidR="00EF38AC" w:rsidRPr="00B12CA4" w:rsidRDefault="00E86360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</w:t>
            </w:r>
            <w:r w:rsidR="00AB4551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ismaz 1 rādītāja izpilde</w:t>
            </w:r>
          </w:p>
        </w:tc>
        <w:tc>
          <w:tcPr>
            <w:tcW w:w="2410" w:type="dxa"/>
          </w:tcPr>
          <w:p w14:paraId="6C7D23E2" w14:textId="77777777" w:rsidR="00EF38AC" w:rsidRPr="00B12CA4" w:rsidRDefault="00EF38AC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179" w:type="dxa"/>
          </w:tcPr>
          <w:p w14:paraId="17D69575" w14:textId="77777777" w:rsidR="00EF38AC" w:rsidRPr="00B12CA4" w:rsidRDefault="00EF38AC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391766" w:rsidRPr="00B12CA4" w14:paraId="1E2C206C" w14:textId="77777777" w:rsidTr="00DE7986">
        <w:tc>
          <w:tcPr>
            <w:tcW w:w="9396" w:type="dxa"/>
            <w:gridSpan w:val="5"/>
          </w:tcPr>
          <w:p w14:paraId="414C10C5" w14:textId="77777777" w:rsidR="00391766" w:rsidRPr="00B12CA4" w:rsidRDefault="00391766" w:rsidP="00B12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Vērtējuma pamatojums: [ierakstīt]</w:t>
            </w:r>
          </w:p>
        </w:tc>
      </w:tr>
    </w:tbl>
    <w:p w14:paraId="1DE49452" w14:textId="77777777" w:rsidR="00391766" w:rsidRPr="00B12CA4" w:rsidRDefault="00391766" w:rsidP="00B1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651AD365" w14:textId="77777777" w:rsidR="00391766" w:rsidRPr="00B12CA4" w:rsidRDefault="00391766" w:rsidP="00B12CA4">
      <w:pPr>
        <w:tabs>
          <w:tab w:val="left" w:pos="247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</w:pPr>
      <w:r w:rsidRPr="00B12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>7.</w:t>
      </w:r>
      <w:r w:rsidR="00E200E1" w:rsidRPr="00B12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> </w:t>
      </w:r>
      <w:r w:rsidRPr="00B12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 xml:space="preserve">kritērijs: </w:t>
      </w:r>
      <w:r w:rsidR="00B4638B" w:rsidRPr="00B12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>Mācību/ studiju procesa attīstīšana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21"/>
        <w:gridCol w:w="3102"/>
        <w:gridCol w:w="2257"/>
        <w:gridCol w:w="2400"/>
        <w:gridCol w:w="1216"/>
      </w:tblGrid>
      <w:tr w:rsidR="00391766" w:rsidRPr="00B12CA4" w14:paraId="3A68CD44" w14:textId="77777777" w:rsidTr="006A523E">
        <w:tc>
          <w:tcPr>
            <w:tcW w:w="421" w:type="dxa"/>
          </w:tcPr>
          <w:p w14:paraId="512CC014" w14:textId="77777777" w:rsidR="00391766" w:rsidRPr="00B12CA4" w:rsidRDefault="00391766" w:rsidP="00B12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8" w:type="dxa"/>
            <w:vAlign w:val="center"/>
          </w:tcPr>
          <w:p w14:paraId="3CD198CE" w14:textId="77777777" w:rsidR="00391766" w:rsidRPr="00B12CA4" w:rsidRDefault="008D6238" w:rsidP="00B12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Kritērijs</w:t>
            </w:r>
          </w:p>
        </w:tc>
        <w:tc>
          <w:tcPr>
            <w:tcW w:w="2268" w:type="dxa"/>
            <w:vAlign w:val="center"/>
          </w:tcPr>
          <w:p w14:paraId="4FDFF2FF" w14:textId="77777777" w:rsidR="00391766" w:rsidRPr="00B12CA4" w:rsidRDefault="008F2CD0" w:rsidP="00B12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Minimālā prasība</w:t>
            </w:r>
          </w:p>
        </w:tc>
        <w:tc>
          <w:tcPr>
            <w:tcW w:w="2410" w:type="dxa"/>
            <w:vAlign w:val="center"/>
          </w:tcPr>
          <w:p w14:paraId="5D7A0A82" w14:textId="77777777" w:rsidR="00391766" w:rsidRPr="00B12CA4" w:rsidRDefault="00391766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Pretendenta sniegums pēdējo 6 gadu laikā </w:t>
            </w:r>
          </w:p>
        </w:tc>
        <w:tc>
          <w:tcPr>
            <w:tcW w:w="1179" w:type="dxa"/>
            <w:vAlign w:val="center"/>
          </w:tcPr>
          <w:p w14:paraId="2DF21051" w14:textId="77777777" w:rsidR="00391766" w:rsidRPr="00B12CA4" w:rsidRDefault="00FB22AD" w:rsidP="00B12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Vērtējums (0</w:t>
            </w:r>
            <w:r w:rsidR="00496293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–</w:t>
            </w:r>
            <w:r w:rsidR="00496293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5)</w:t>
            </w:r>
          </w:p>
        </w:tc>
      </w:tr>
      <w:tr w:rsidR="005313A8" w:rsidRPr="00B12CA4" w14:paraId="5B2A53E3" w14:textId="77777777" w:rsidTr="00DE7986">
        <w:tc>
          <w:tcPr>
            <w:tcW w:w="421" w:type="dxa"/>
          </w:tcPr>
          <w:p w14:paraId="61977B60" w14:textId="77777777" w:rsidR="005313A8" w:rsidRPr="00B12CA4" w:rsidRDefault="005313A8" w:rsidP="00B12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3118" w:type="dxa"/>
          </w:tcPr>
          <w:p w14:paraId="0B64EB45" w14:textId="77777777" w:rsidR="005313A8" w:rsidRPr="00B12CA4" w:rsidRDefault="005313A8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Pedagoģiskās darbības plāns. Jaunāko metožu izmantošana un inovāciju ieviešana studiju procesā</w:t>
            </w:r>
            <w:r w:rsidR="00D21E04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</w:t>
            </w: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268" w:type="dxa"/>
          </w:tcPr>
          <w:p w14:paraId="39A25DEE" w14:textId="77777777" w:rsidR="005313A8" w:rsidRPr="00B12CA4" w:rsidRDefault="005313A8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410" w:type="dxa"/>
          </w:tcPr>
          <w:p w14:paraId="24FA3F37" w14:textId="77777777" w:rsidR="005313A8" w:rsidRPr="00B12CA4" w:rsidRDefault="005313A8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179" w:type="dxa"/>
          </w:tcPr>
          <w:p w14:paraId="2F57ECF6" w14:textId="77777777" w:rsidR="005313A8" w:rsidRPr="00B12CA4" w:rsidRDefault="005313A8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5313A8" w:rsidRPr="00B12CA4" w14:paraId="6DAB944A" w14:textId="77777777" w:rsidTr="00DE7986">
        <w:tc>
          <w:tcPr>
            <w:tcW w:w="421" w:type="dxa"/>
          </w:tcPr>
          <w:p w14:paraId="01E0FFFD" w14:textId="77777777" w:rsidR="005313A8" w:rsidRPr="00B12CA4" w:rsidRDefault="005313A8" w:rsidP="00B12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3118" w:type="dxa"/>
          </w:tcPr>
          <w:p w14:paraId="2FC93C31" w14:textId="77777777" w:rsidR="005313A8" w:rsidRPr="00B12CA4" w:rsidRDefault="005313A8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Mācību un metodisko līdzekļu izstrādāšana</w:t>
            </w:r>
            <w:r w:rsidR="00D21E04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2268" w:type="dxa"/>
          </w:tcPr>
          <w:p w14:paraId="5616EEE1" w14:textId="77777777" w:rsidR="005313A8" w:rsidRPr="00B12CA4" w:rsidRDefault="005313A8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410" w:type="dxa"/>
          </w:tcPr>
          <w:p w14:paraId="48D71EBB" w14:textId="77777777" w:rsidR="005313A8" w:rsidRPr="00B12CA4" w:rsidRDefault="005313A8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179" w:type="dxa"/>
          </w:tcPr>
          <w:p w14:paraId="7FC2C279" w14:textId="77777777" w:rsidR="005313A8" w:rsidRPr="00B12CA4" w:rsidRDefault="005313A8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391766" w:rsidRPr="00B12CA4" w14:paraId="3897BF5D" w14:textId="77777777" w:rsidTr="00DE7986">
        <w:tc>
          <w:tcPr>
            <w:tcW w:w="9396" w:type="dxa"/>
            <w:gridSpan w:val="5"/>
          </w:tcPr>
          <w:p w14:paraId="6A64D04B" w14:textId="77777777" w:rsidR="00391766" w:rsidRPr="00B12CA4" w:rsidRDefault="00391766" w:rsidP="00B12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Vērtējuma pamatojums: [ierakstīt]</w:t>
            </w:r>
          </w:p>
        </w:tc>
      </w:tr>
    </w:tbl>
    <w:p w14:paraId="30951EC4" w14:textId="77777777" w:rsidR="00391766" w:rsidRPr="00B12CA4" w:rsidRDefault="00391766" w:rsidP="00B1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63C9FFB8" w14:textId="77777777" w:rsidR="00D21E04" w:rsidRPr="00B12CA4" w:rsidRDefault="00D21E04" w:rsidP="00B12CA4">
      <w:pPr>
        <w:tabs>
          <w:tab w:val="left" w:pos="247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</w:pPr>
    </w:p>
    <w:p w14:paraId="576430BA" w14:textId="77777777" w:rsidR="00D21E04" w:rsidRPr="00B12CA4" w:rsidRDefault="00D21E04" w:rsidP="00B12CA4">
      <w:pPr>
        <w:tabs>
          <w:tab w:val="left" w:pos="247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</w:pPr>
    </w:p>
    <w:p w14:paraId="39AE2537" w14:textId="77777777" w:rsidR="00391766" w:rsidRPr="00B12CA4" w:rsidRDefault="00391766" w:rsidP="00B12CA4">
      <w:pPr>
        <w:tabs>
          <w:tab w:val="left" w:pos="247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</w:pPr>
      <w:r w:rsidRPr="00B12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>8.</w:t>
      </w:r>
      <w:r w:rsidR="00E200E1" w:rsidRPr="00B12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> </w:t>
      </w:r>
      <w:r w:rsidRPr="00B12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 xml:space="preserve">kritērijs: </w:t>
      </w:r>
      <w:r w:rsidR="00D21E04" w:rsidRPr="00B12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>Citi pedagoģiskās darbības kritēriji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21"/>
        <w:gridCol w:w="3104"/>
        <w:gridCol w:w="2256"/>
        <w:gridCol w:w="2399"/>
        <w:gridCol w:w="1216"/>
      </w:tblGrid>
      <w:tr w:rsidR="00391766" w:rsidRPr="00B12CA4" w14:paraId="127D5ADA" w14:textId="77777777" w:rsidTr="006A523E">
        <w:tc>
          <w:tcPr>
            <w:tcW w:w="421" w:type="dxa"/>
          </w:tcPr>
          <w:p w14:paraId="68D67A0E" w14:textId="77777777" w:rsidR="00391766" w:rsidRPr="00B12CA4" w:rsidRDefault="00391766" w:rsidP="00B12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8" w:type="dxa"/>
            <w:vAlign w:val="center"/>
          </w:tcPr>
          <w:p w14:paraId="07156B71" w14:textId="77777777" w:rsidR="00391766" w:rsidRPr="00B12CA4" w:rsidRDefault="008D6238" w:rsidP="00B12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Kritērijs</w:t>
            </w:r>
          </w:p>
        </w:tc>
        <w:tc>
          <w:tcPr>
            <w:tcW w:w="2268" w:type="dxa"/>
            <w:vAlign w:val="center"/>
          </w:tcPr>
          <w:p w14:paraId="5BC7874B" w14:textId="77777777" w:rsidR="00391766" w:rsidRPr="00B12CA4" w:rsidRDefault="008F2CD0" w:rsidP="00B12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Minimālā prasība</w:t>
            </w:r>
          </w:p>
        </w:tc>
        <w:tc>
          <w:tcPr>
            <w:tcW w:w="2410" w:type="dxa"/>
            <w:vAlign w:val="center"/>
          </w:tcPr>
          <w:p w14:paraId="109E3FC3" w14:textId="77777777" w:rsidR="00391766" w:rsidRPr="00B12CA4" w:rsidRDefault="00391766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Pretendenta sniegums pēdējo 6 gadu laikā </w:t>
            </w:r>
          </w:p>
        </w:tc>
        <w:tc>
          <w:tcPr>
            <w:tcW w:w="1179" w:type="dxa"/>
            <w:vAlign w:val="center"/>
          </w:tcPr>
          <w:p w14:paraId="2200C474" w14:textId="77777777" w:rsidR="00391766" w:rsidRPr="00B12CA4" w:rsidRDefault="00FB22AD" w:rsidP="00B12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Vērtējums (0</w:t>
            </w:r>
            <w:r w:rsidR="00496293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–</w:t>
            </w:r>
            <w:r w:rsidR="00496293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5)</w:t>
            </w:r>
          </w:p>
        </w:tc>
      </w:tr>
      <w:tr w:rsidR="00D21E04" w:rsidRPr="00B12CA4" w14:paraId="732CF64A" w14:textId="77777777" w:rsidTr="00DE7986">
        <w:tc>
          <w:tcPr>
            <w:tcW w:w="421" w:type="dxa"/>
          </w:tcPr>
          <w:p w14:paraId="6E132653" w14:textId="77777777" w:rsidR="00D21E04" w:rsidRPr="00B12CA4" w:rsidRDefault="00D21E04" w:rsidP="00B12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3118" w:type="dxa"/>
          </w:tcPr>
          <w:p w14:paraId="6FB222C7" w14:textId="77777777" w:rsidR="00D21E04" w:rsidRPr="00B12CA4" w:rsidRDefault="00D21E04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Studiju programmu vai kursu izstrāde, pilnveidošana vai vadīšana.</w:t>
            </w:r>
          </w:p>
        </w:tc>
        <w:tc>
          <w:tcPr>
            <w:tcW w:w="2268" w:type="dxa"/>
          </w:tcPr>
          <w:p w14:paraId="1FED2A66" w14:textId="77777777" w:rsidR="00D21E04" w:rsidRPr="00B12CA4" w:rsidRDefault="00D21E04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410" w:type="dxa"/>
          </w:tcPr>
          <w:p w14:paraId="68805981" w14:textId="77777777" w:rsidR="00D21E04" w:rsidRPr="00B12CA4" w:rsidRDefault="00D21E04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179" w:type="dxa"/>
          </w:tcPr>
          <w:p w14:paraId="1EF68A86" w14:textId="77777777" w:rsidR="00D21E04" w:rsidRPr="00B12CA4" w:rsidRDefault="00D21E04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D21E04" w:rsidRPr="00B12CA4" w14:paraId="535FFF2C" w14:textId="77777777" w:rsidTr="006A523E">
        <w:tc>
          <w:tcPr>
            <w:tcW w:w="421" w:type="dxa"/>
          </w:tcPr>
          <w:p w14:paraId="1EF17D41" w14:textId="77777777" w:rsidR="00D21E04" w:rsidRPr="00B12CA4" w:rsidRDefault="00D21E04" w:rsidP="00B12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3118" w:type="dxa"/>
          </w:tcPr>
          <w:p w14:paraId="315EF092" w14:textId="77777777" w:rsidR="00D21E04" w:rsidRPr="00B12CA4" w:rsidRDefault="00D21E04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Studiju kursu </w:t>
            </w:r>
            <w:r w:rsidR="008F2CD0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vadīšanas </w:t>
            </w: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kvalitāte (vērtē studentu aptaujas rezultātus, u.c. apliecinājumus).</w:t>
            </w:r>
          </w:p>
        </w:tc>
        <w:tc>
          <w:tcPr>
            <w:tcW w:w="2268" w:type="dxa"/>
          </w:tcPr>
          <w:p w14:paraId="223FCF3B" w14:textId="77777777" w:rsidR="00D21E04" w:rsidRPr="00B12CA4" w:rsidRDefault="00D21E04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410" w:type="dxa"/>
          </w:tcPr>
          <w:p w14:paraId="04FDDB23" w14:textId="77777777" w:rsidR="00D21E04" w:rsidRPr="00B12CA4" w:rsidRDefault="00D21E04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179" w:type="dxa"/>
          </w:tcPr>
          <w:p w14:paraId="19CC72E2" w14:textId="77777777" w:rsidR="00D21E04" w:rsidRPr="00B12CA4" w:rsidRDefault="00D21E04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391766" w:rsidRPr="00B12CA4" w14:paraId="6D8D32D4" w14:textId="77777777" w:rsidTr="00DE7986">
        <w:tc>
          <w:tcPr>
            <w:tcW w:w="9396" w:type="dxa"/>
            <w:gridSpan w:val="5"/>
          </w:tcPr>
          <w:p w14:paraId="24CD283B" w14:textId="77777777" w:rsidR="00391766" w:rsidRPr="00B12CA4" w:rsidRDefault="00391766" w:rsidP="00B12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Vērtējuma pamatojums: [ierakstīt]</w:t>
            </w:r>
          </w:p>
        </w:tc>
      </w:tr>
    </w:tbl>
    <w:p w14:paraId="5CE3CF39" w14:textId="77777777" w:rsidR="00391766" w:rsidRPr="00B12CA4" w:rsidRDefault="00391766" w:rsidP="00B1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2A91A03D" w14:textId="77777777" w:rsidR="00D21E04" w:rsidRPr="00B12CA4" w:rsidRDefault="00D21E04" w:rsidP="00B12C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B12CA4">
        <w:rPr>
          <w:rFonts w:ascii="Times New Roman" w:hAnsi="Times New Roman" w:cs="Times New Roman"/>
          <w:b/>
          <w:sz w:val="24"/>
          <w:szCs w:val="24"/>
          <w:lang w:val="lv-LV"/>
        </w:rPr>
        <w:t>VALORIZĀCIJA</w:t>
      </w:r>
    </w:p>
    <w:p w14:paraId="2FBD1888" w14:textId="77777777" w:rsidR="00391766" w:rsidRPr="00B12CA4" w:rsidRDefault="00391766" w:rsidP="00B12CA4">
      <w:pPr>
        <w:tabs>
          <w:tab w:val="left" w:pos="247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</w:pPr>
      <w:r w:rsidRPr="00B12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>9.</w:t>
      </w:r>
      <w:r w:rsidR="00E200E1" w:rsidRPr="00B12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> </w:t>
      </w:r>
      <w:r w:rsidRPr="00B12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>kritērijs:</w:t>
      </w:r>
      <w:r w:rsidR="00D21E04" w:rsidRPr="00B12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 xml:space="preserve"> </w:t>
      </w:r>
      <w:proofErr w:type="spellStart"/>
      <w:r w:rsidR="00D21E04" w:rsidRPr="00B12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>Valorizācija</w:t>
      </w:r>
      <w:proofErr w:type="spellEnd"/>
      <w:r w:rsidRPr="00B12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 xml:space="preserve">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20"/>
        <w:gridCol w:w="3105"/>
        <w:gridCol w:w="2256"/>
        <w:gridCol w:w="2399"/>
        <w:gridCol w:w="1216"/>
      </w:tblGrid>
      <w:tr w:rsidR="00391766" w:rsidRPr="00B12CA4" w14:paraId="7AC02AF8" w14:textId="77777777" w:rsidTr="006A523E">
        <w:tc>
          <w:tcPr>
            <w:tcW w:w="421" w:type="dxa"/>
          </w:tcPr>
          <w:p w14:paraId="0462E11E" w14:textId="77777777" w:rsidR="00391766" w:rsidRPr="00B12CA4" w:rsidRDefault="00391766" w:rsidP="00B12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8" w:type="dxa"/>
            <w:vAlign w:val="center"/>
          </w:tcPr>
          <w:p w14:paraId="6062E8DB" w14:textId="77777777" w:rsidR="00391766" w:rsidRPr="00B12CA4" w:rsidRDefault="008D6238" w:rsidP="00B12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Kritērijs</w:t>
            </w:r>
          </w:p>
        </w:tc>
        <w:tc>
          <w:tcPr>
            <w:tcW w:w="2268" w:type="dxa"/>
            <w:vAlign w:val="center"/>
          </w:tcPr>
          <w:p w14:paraId="4D8BF2CC" w14:textId="77777777" w:rsidR="00391766" w:rsidRPr="00B12CA4" w:rsidRDefault="008F2CD0" w:rsidP="00B12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Minimālā prasība</w:t>
            </w:r>
          </w:p>
        </w:tc>
        <w:tc>
          <w:tcPr>
            <w:tcW w:w="2410" w:type="dxa"/>
            <w:vAlign w:val="center"/>
          </w:tcPr>
          <w:p w14:paraId="0CEE62C4" w14:textId="77777777" w:rsidR="00391766" w:rsidRPr="00B12CA4" w:rsidRDefault="00391766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Pretendenta sniegums pēdējo 6 gadu laikā </w:t>
            </w:r>
          </w:p>
        </w:tc>
        <w:tc>
          <w:tcPr>
            <w:tcW w:w="1179" w:type="dxa"/>
            <w:vAlign w:val="center"/>
          </w:tcPr>
          <w:p w14:paraId="304FA6D6" w14:textId="77777777" w:rsidR="00391766" w:rsidRPr="00B12CA4" w:rsidRDefault="00FB22AD" w:rsidP="00B12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Vērtējums (0</w:t>
            </w:r>
            <w:r w:rsidR="00496293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–</w:t>
            </w:r>
            <w:r w:rsidR="00496293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5)</w:t>
            </w:r>
          </w:p>
        </w:tc>
      </w:tr>
      <w:tr w:rsidR="00E63901" w:rsidRPr="00B12CA4" w14:paraId="4554FD42" w14:textId="77777777" w:rsidTr="00DE7986">
        <w:tc>
          <w:tcPr>
            <w:tcW w:w="421" w:type="dxa"/>
          </w:tcPr>
          <w:p w14:paraId="393D5405" w14:textId="77777777" w:rsidR="00E63901" w:rsidRPr="00B12CA4" w:rsidRDefault="00E63901" w:rsidP="00B12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3118" w:type="dxa"/>
          </w:tcPr>
          <w:p w14:paraId="00CD1B43" w14:textId="77777777" w:rsidR="00E63901" w:rsidRPr="00B12CA4" w:rsidRDefault="00E63901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Sadarbība ar uzņēmumiem vai sabiedrisko sektoru, t.</w:t>
            </w:r>
            <w:r w:rsidR="00652C6D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sk. līgumdarbu apjoms.</w:t>
            </w:r>
          </w:p>
        </w:tc>
        <w:tc>
          <w:tcPr>
            <w:tcW w:w="2268" w:type="dxa"/>
          </w:tcPr>
          <w:p w14:paraId="579B8BD7" w14:textId="77777777" w:rsidR="00E63901" w:rsidRPr="00B12CA4" w:rsidRDefault="00E63901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410" w:type="dxa"/>
          </w:tcPr>
          <w:p w14:paraId="0550A149" w14:textId="77777777" w:rsidR="00E63901" w:rsidRPr="00B12CA4" w:rsidRDefault="00E63901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179" w:type="dxa"/>
          </w:tcPr>
          <w:p w14:paraId="014814DC" w14:textId="77777777" w:rsidR="00E63901" w:rsidRPr="00B12CA4" w:rsidRDefault="00E63901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E63901" w:rsidRPr="00B12CA4" w14:paraId="03BEDD3E" w14:textId="77777777" w:rsidTr="006A523E">
        <w:tc>
          <w:tcPr>
            <w:tcW w:w="421" w:type="dxa"/>
          </w:tcPr>
          <w:p w14:paraId="6884B5CD" w14:textId="77777777" w:rsidR="00E63901" w:rsidRPr="00B12CA4" w:rsidRDefault="00E63901" w:rsidP="00B12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3118" w:type="dxa"/>
          </w:tcPr>
          <w:p w14:paraId="463F6332" w14:textId="77777777" w:rsidR="00E63901" w:rsidRPr="00B12CA4" w:rsidRDefault="00E63901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Iegūtie patenti, noslēgt</w:t>
            </w:r>
            <w:r w:rsidR="008F2CD0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ie</w:t>
            </w: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līgum</w:t>
            </w:r>
            <w:r w:rsidR="008F2CD0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</w:t>
            </w: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par intelektuālā īpašuma licencēšanu vai pārdošanu.</w:t>
            </w:r>
          </w:p>
        </w:tc>
        <w:tc>
          <w:tcPr>
            <w:tcW w:w="2268" w:type="dxa"/>
          </w:tcPr>
          <w:p w14:paraId="08CD5A52" w14:textId="77777777" w:rsidR="00E63901" w:rsidRPr="00B12CA4" w:rsidRDefault="00E63901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410" w:type="dxa"/>
          </w:tcPr>
          <w:p w14:paraId="490EB782" w14:textId="77777777" w:rsidR="00E63901" w:rsidRPr="00B12CA4" w:rsidRDefault="00E63901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179" w:type="dxa"/>
          </w:tcPr>
          <w:p w14:paraId="54A2C726" w14:textId="77777777" w:rsidR="00E63901" w:rsidRPr="00B12CA4" w:rsidRDefault="00E63901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E63901" w:rsidRPr="00B12CA4" w14:paraId="66B71BF3" w14:textId="77777777" w:rsidTr="00DE7986">
        <w:tc>
          <w:tcPr>
            <w:tcW w:w="421" w:type="dxa"/>
          </w:tcPr>
          <w:p w14:paraId="4C3A3E3B" w14:textId="77777777" w:rsidR="00E63901" w:rsidRPr="00B12CA4" w:rsidRDefault="00E63901" w:rsidP="00B12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3.</w:t>
            </w:r>
          </w:p>
        </w:tc>
        <w:tc>
          <w:tcPr>
            <w:tcW w:w="3118" w:type="dxa"/>
          </w:tcPr>
          <w:p w14:paraId="71724BCD" w14:textId="77777777" w:rsidR="00E63901" w:rsidRPr="00B12CA4" w:rsidRDefault="00E63901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Inovācija un produktu </w:t>
            </w:r>
            <w:proofErr w:type="spellStart"/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komercializācija</w:t>
            </w:r>
            <w:proofErr w:type="spellEnd"/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, dalība </w:t>
            </w:r>
            <w:proofErr w:type="spellStart"/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jaunuzņēmumu</w:t>
            </w:r>
            <w:proofErr w:type="spellEnd"/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izveidē un darbībā.</w:t>
            </w:r>
          </w:p>
        </w:tc>
        <w:tc>
          <w:tcPr>
            <w:tcW w:w="2268" w:type="dxa"/>
          </w:tcPr>
          <w:p w14:paraId="48D2E6AB" w14:textId="77777777" w:rsidR="00E63901" w:rsidRPr="00B12CA4" w:rsidRDefault="00E63901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410" w:type="dxa"/>
          </w:tcPr>
          <w:p w14:paraId="5DE7F6E0" w14:textId="77777777" w:rsidR="00E63901" w:rsidRPr="00B12CA4" w:rsidRDefault="00E63901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179" w:type="dxa"/>
          </w:tcPr>
          <w:p w14:paraId="26F6D787" w14:textId="77777777" w:rsidR="00E63901" w:rsidRPr="00B12CA4" w:rsidRDefault="00E63901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391766" w:rsidRPr="00B12CA4" w14:paraId="4876F867" w14:textId="77777777" w:rsidTr="00DE7986">
        <w:tc>
          <w:tcPr>
            <w:tcW w:w="9396" w:type="dxa"/>
            <w:gridSpan w:val="5"/>
          </w:tcPr>
          <w:p w14:paraId="19B8252D" w14:textId="77777777" w:rsidR="00391766" w:rsidRPr="00B12CA4" w:rsidRDefault="00391766" w:rsidP="00B12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Vērtējuma pamatojums: [ierakstīt]</w:t>
            </w:r>
          </w:p>
        </w:tc>
      </w:tr>
    </w:tbl>
    <w:p w14:paraId="17246515" w14:textId="77777777" w:rsidR="00391766" w:rsidRPr="00B12CA4" w:rsidRDefault="00391766" w:rsidP="00B1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6A468C0D" w14:textId="77777777" w:rsidR="00E63901" w:rsidRPr="00B12CA4" w:rsidRDefault="00605F6D" w:rsidP="00B12C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B12CA4">
        <w:rPr>
          <w:rFonts w:ascii="Times New Roman" w:hAnsi="Times New Roman" w:cs="Times New Roman"/>
          <w:b/>
          <w:sz w:val="24"/>
          <w:szCs w:val="24"/>
          <w:lang w:val="lv-LV"/>
        </w:rPr>
        <w:t>ORGANIZATORISKAIS DARBS UN VADĪBA</w:t>
      </w:r>
    </w:p>
    <w:p w14:paraId="2F77BC1F" w14:textId="77777777" w:rsidR="00391766" w:rsidRPr="00B12CA4" w:rsidRDefault="00391766" w:rsidP="00B12CA4">
      <w:pPr>
        <w:tabs>
          <w:tab w:val="left" w:pos="247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</w:pPr>
      <w:r w:rsidRPr="00B12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>10.</w:t>
      </w:r>
      <w:r w:rsidR="000A01CA" w:rsidRPr="00B12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> </w:t>
      </w:r>
      <w:r w:rsidRPr="00B12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 xml:space="preserve">kritērijs: </w:t>
      </w:r>
      <w:r w:rsidR="00605F6D" w:rsidRPr="00B12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>Organizatoriskais darbs un vadība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21"/>
        <w:gridCol w:w="3111"/>
        <w:gridCol w:w="2253"/>
        <w:gridCol w:w="2395"/>
        <w:gridCol w:w="1216"/>
      </w:tblGrid>
      <w:tr w:rsidR="00391766" w:rsidRPr="00B12CA4" w14:paraId="44B5D083" w14:textId="77777777" w:rsidTr="006A523E">
        <w:tc>
          <w:tcPr>
            <w:tcW w:w="421" w:type="dxa"/>
          </w:tcPr>
          <w:p w14:paraId="1F78AC3C" w14:textId="77777777" w:rsidR="00391766" w:rsidRPr="00B12CA4" w:rsidRDefault="00391766" w:rsidP="00B12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8" w:type="dxa"/>
            <w:vAlign w:val="center"/>
          </w:tcPr>
          <w:p w14:paraId="73742B66" w14:textId="77777777" w:rsidR="00391766" w:rsidRPr="00B12CA4" w:rsidRDefault="008D6238" w:rsidP="00B12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Kritērijs</w:t>
            </w:r>
          </w:p>
        </w:tc>
        <w:tc>
          <w:tcPr>
            <w:tcW w:w="2268" w:type="dxa"/>
            <w:vAlign w:val="center"/>
          </w:tcPr>
          <w:p w14:paraId="4AB1CB56" w14:textId="77777777" w:rsidR="00391766" w:rsidRPr="00B12CA4" w:rsidRDefault="008F2CD0" w:rsidP="00B12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Minimālā prasība</w:t>
            </w:r>
          </w:p>
        </w:tc>
        <w:tc>
          <w:tcPr>
            <w:tcW w:w="2410" w:type="dxa"/>
            <w:vAlign w:val="center"/>
          </w:tcPr>
          <w:p w14:paraId="21D26FA5" w14:textId="77777777" w:rsidR="00391766" w:rsidRPr="00B12CA4" w:rsidRDefault="00391766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Pretendenta sniegums pēdējo 6 gadu laikā </w:t>
            </w:r>
          </w:p>
        </w:tc>
        <w:tc>
          <w:tcPr>
            <w:tcW w:w="1179" w:type="dxa"/>
            <w:vAlign w:val="center"/>
          </w:tcPr>
          <w:p w14:paraId="2111D8C5" w14:textId="77777777" w:rsidR="00391766" w:rsidRPr="00B12CA4" w:rsidRDefault="00FB22AD" w:rsidP="00B12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Vērtējums (0</w:t>
            </w:r>
            <w:r w:rsidR="00496293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–</w:t>
            </w:r>
            <w:r w:rsidR="00496293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5)</w:t>
            </w:r>
          </w:p>
        </w:tc>
      </w:tr>
      <w:tr w:rsidR="00391766" w:rsidRPr="00B12CA4" w14:paraId="2E2F6310" w14:textId="77777777" w:rsidTr="00DE7986">
        <w:tc>
          <w:tcPr>
            <w:tcW w:w="421" w:type="dxa"/>
          </w:tcPr>
          <w:p w14:paraId="0E0D0E5B" w14:textId="77777777" w:rsidR="00391766" w:rsidRPr="00B12CA4" w:rsidRDefault="00391766" w:rsidP="00B12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3118" w:type="dxa"/>
          </w:tcPr>
          <w:p w14:paraId="25EC6797" w14:textId="77777777" w:rsidR="00391766" w:rsidRPr="00B12CA4" w:rsidRDefault="00605F6D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Dalība zinātnisko konferenču organizācijas komitejās un sekciju vadīšanā.</w:t>
            </w:r>
          </w:p>
        </w:tc>
        <w:tc>
          <w:tcPr>
            <w:tcW w:w="2268" w:type="dxa"/>
          </w:tcPr>
          <w:p w14:paraId="794EDDF9" w14:textId="77777777" w:rsidR="00391766" w:rsidRPr="00B12CA4" w:rsidRDefault="00391766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410" w:type="dxa"/>
          </w:tcPr>
          <w:p w14:paraId="61A69CA8" w14:textId="77777777" w:rsidR="00391766" w:rsidRPr="00B12CA4" w:rsidRDefault="00391766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179" w:type="dxa"/>
          </w:tcPr>
          <w:p w14:paraId="4FD4B4F8" w14:textId="77777777" w:rsidR="00391766" w:rsidRPr="00B12CA4" w:rsidRDefault="00391766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391766" w:rsidRPr="00B12CA4" w14:paraId="65CC948B" w14:textId="77777777" w:rsidTr="00DE7986">
        <w:tc>
          <w:tcPr>
            <w:tcW w:w="421" w:type="dxa"/>
          </w:tcPr>
          <w:p w14:paraId="6AF835E6" w14:textId="77777777" w:rsidR="00391766" w:rsidRPr="00B12CA4" w:rsidRDefault="00391766" w:rsidP="00B12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3118" w:type="dxa"/>
          </w:tcPr>
          <w:p w14:paraId="4F38B7A2" w14:textId="77777777" w:rsidR="00391766" w:rsidRPr="00B12CA4" w:rsidRDefault="00605F6D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Recenzenta darbs zinātniskajos žurnālos un rakstu krājumos; promocijas darbu recenzēšana; dalība zinātnisko izdevumu redkolēģijās.</w:t>
            </w:r>
          </w:p>
        </w:tc>
        <w:tc>
          <w:tcPr>
            <w:tcW w:w="2268" w:type="dxa"/>
          </w:tcPr>
          <w:p w14:paraId="4DE99E16" w14:textId="77777777" w:rsidR="00391766" w:rsidRPr="00B12CA4" w:rsidRDefault="00391766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410" w:type="dxa"/>
          </w:tcPr>
          <w:p w14:paraId="1662A2D6" w14:textId="77777777" w:rsidR="00391766" w:rsidRPr="00B12CA4" w:rsidRDefault="00391766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179" w:type="dxa"/>
          </w:tcPr>
          <w:p w14:paraId="610DB459" w14:textId="77777777" w:rsidR="00391766" w:rsidRPr="00B12CA4" w:rsidRDefault="00391766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605F6D" w:rsidRPr="00B12CA4" w14:paraId="72A2225C" w14:textId="77777777" w:rsidTr="00DE7986">
        <w:tc>
          <w:tcPr>
            <w:tcW w:w="421" w:type="dxa"/>
          </w:tcPr>
          <w:p w14:paraId="746B8D02" w14:textId="77777777" w:rsidR="00605F6D" w:rsidRPr="00B12CA4" w:rsidRDefault="00605F6D" w:rsidP="00B12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3.</w:t>
            </w:r>
          </w:p>
        </w:tc>
        <w:tc>
          <w:tcPr>
            <w:tcW w:w="3118" w:type="dxa"/>
          </w:tcPr>
          <w:p w14:paraId="5D0D70DF" w14:textId="77777777" w:rsidR="00605F6D" w:rsidRPr="00B12CA4" w:rsidRDefault="00605F6D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Jaunas laboratorijas vai pētnieciskas grupas izveide un vadība.</w:t>
            </w:r>
          </w:p>
          <w:p w14:paraId="67B0119F" w14:textId="77777777" w:rsidR="00605F6D" w:rsidRPr="00B12CA4" w:rsidRDefault="00605F6D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Dalība universitātes pārvaldībā (fakultātes, institūta, profesoru grupas, katedras, laboratorijas vadība, u.c. veida administratīvais darbs).</w:t>
            </w:r>
          </w:p>
          <w:p w14:paraId="68A0EF34" w14:textId="77777777" w:rsidR="00605F6D" w:rsidRPr="00B12CA4" w:rsidRDefault="00605F6D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Dalība universitātes padomēs, darba grupās un komisijās.</w:t>
            </w:r>
          </w:p>
        </w:tc>
        <w:tc>
          <w:tcPr>
            <w:tcW w:w="2268" w:type="dxa"/>
          </w:tcPr>
          <w:p w14:paraId="0105940F" w14:textId="77777777" w:rsidR="00605F6D" w:rsidRPr="00B12CA4" w:rsidRDefault="00605F6D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410" w:type="dxa"/>
          </w:tcPr>
          <w:p w14:paraId="4E0DA1B8" w14:textId="77777777" w:rsidR="00605F6D" w:rsidRPr="00B12CA4" w:rsidRDefault="00605F6D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179" w:type="dxa"/>
          </w:tcPr>
          <w:p w14:paraId="7C01F85E" w14:textId="77777777" w:rsidR="00605F6D" w:rsidRPr="00B12CA4" w:rsidRDefault="00605F6D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605F6D" w:rsidRPr="00B12CA4" w14:paraId="60E24D80" w14:textId="77777777" w:rsidTr="006A523E">
        <w:tc>
          <w:tcPr>
            <w:tcW w:w="421" w:type="dxa"/>
          </w:tcPr>
          <w:p w14:paraId="510D1922" w14:textId="77777777" w:rsidR="00605F6D" w:rsidRPr="00B12CA4" w:rsidRDefault="00605F6D" w:rsidP="00B12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4.</w:t>
            </w:r>
          </w:p>
        </w:tc>
        <w:tc>
          <w:tcPr>
            <w:tcW w:w="3118" w:type="dxa"/>
          </w:tcPr>
          <w:p w14:paraId="7E8A14F9" w14:textId="77777777" w:rsidR="00605F6D" w:rsidRPr="00B12CA4" w:rsidRDefault="00605F6D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Iesaistīšanās universitātes darbībā un pārstāvēšanā, t.</w:t>
            </w:r>
            <w:r w:rsidR="00652C6D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sk.: </w:t>
            </w:r>
          </w:p>
          <w:p w14:paraId="12539CAE" w14:textId="77777777" w:rsidR="00605F6D" w:rsidRPr="00B12CA4" w:rsidRDefault="00605F6D" w:rsidP="00B12CA4">
            <w:pPr>
              <w:ind w:left="603" w:hanging="141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-</w:t>
            </w: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ab/>
              <w:t xml:space="preserve">aktīva iesaistīšanās sadarbības tīklu u.tml. aktivitātēs, to organizēšana (pētniecības un inovāciju sadarbības tīklu veidošana, </w:t>
            </w:r>
            <w:proofErr w:type="spellStart"/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domnīcas</w:t>
            </w:r>
            <w:proofErr w:type="spellEnd"/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 absolventu asociācija, pārmaiņu vadība u.tml.);</w:t>
            </w:r>
          </w:p>
          <w:p w14:paraId="2CAE7B61" w14:textId="77777777" w:rsidR="00605F6D" w:rsidRPr="00B12CA4" w:rsidRDefault="00605F6D" w:rsidP="00B12CA4">
            <w:pPr>
              <w:ind w:left="603" w:hanging="141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-</w:t>
            </w: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ab/>
              <w:t>konsultēšana un padomdevēja atbalsts;</w:t>
            </w:r>
          </w:p>
          <w:p w14:paraId="3CC00C9C" w14:textId="77777777" w:rsidR="00605F6D" w:rsidRPr="00B12CA4" w:rsidRDefault="00605F6D" w:rsidP="00B12CA4">
            <w:pPr>
              <w:ind w:left="603" w:hanging="141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-</w:t>
            </w: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ab/>
              <w:t>dalība universitātes popularizēšanā un studentu piesaistīšanas aktivitātēs;</w:t>
            </w:r>
          </w:p>
          <w:p w14:paraId="2EB08461" w14:textId="77777777" w:rsidR="00605F6D" w:rsidRPr="00B12CA4" w:rsidRDefault="00605F6D" w:rsidP="00B12CA4">
            <w:pPr>
              <w:ind w:left="603" w:hanging="141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-</w:t>
            </w: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ab/>
              <w:t>pārstāvētās nozares popularizēšanas aktivitāšu organizēšana.</w:t>
            </w:r>
          </w:p>
        </w:tc>
        <w:tc>
          <w:tcPr>
            <w:tcW w:w="2268" w:type="dxa"/>
          </w:tcPr>
          <w:p w14:paraId="44D3508F" w14:textId="77777777" w:rsidR="00605F6D" w:rsidRPr="00B12CA4" w:rsidRDefault="00605F6D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410" w:type="dxa"/>
          </w:tcPr>
          <w:p w14:paraId="79C65730" w14:textId="77777777" w:rsidR="00605F6D" w:rsidRPr="00B12CA4" w:rsidRDefault="00605F6D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179" w:type="dxa"/>
          </w:tcPr>
          <w:p w14:paraId="490BB317" w14:textId="77777777" w:rsidR="00605F6D" w:rsidRPr="00B12CA4" w:rsidRDefault="00605F6D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605F6D" w:rsidRPr="00B12CA4" w14:paraId="5BADA9E2" w14:textId="77777777" w:rsidTr="006A523E">
        <w:tc>
          <w:tcPr>
            <w:tcW w:w="421" w:type="dxa"/>
          </w:tcPr>
          <w:p w14:paraId="64C400AA" w14:textId="77777777" w:rsidR="00605F6D" w:rsidRPr="00B12CA4" w:rsidRDefault="00605F6D" w:rsidP="00B12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5.</w:t>
            </w:r>
          </w:p>
        </w:tc>
        <w:tc>
          <w:tcPr>
            <w:tcW w:w="3118" w:type="dxa"/>
          </w:tcPr>
          <w:p w14:paraId="4E5A5971" w14:textId="77777777" w:rsidR="00605F6D" w:rsidRPr="00B12CA4" w:rsidRDefault="00605F6D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Ekspertīze un konsultācijas:</w:t>
            </w:r>
          </w:p>
          <w:p w14:paraId="7B261C2A" w14:textId="77777777" w:rsidR="00605F6D" w:rsidRPr="00B12CA4" w:rsidRDefault="00605F6D" w:rsidP="00B12CA4">
            <w:pPr>
              <w:ind w:left="603" w:hanging="141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-</w:t>
            </w: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ab/>
              <w:t>darbība profesionālajās un nozares asociācijās, biedrībās, komitejās;</w:t>
            </w:r>
          </w:p>
          <w:p w14:paraId="0013687B" w14:textId="77777777" w:rsidR="00605F6D" w:rsidRPr="00B12CA4" w:rsidRDefault="00605F6D" w:rsidP="00B12CA4">
            <w:pPr>
              <w:ind w:left="603" w:hanging="141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-</w:t>
            </w: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ab/>
              <w:t xml:space="preserve">eksperta un konsultanta darbība ārpus universitātes (dalības ekspertu darba grupās, žūriju komisijās, konferenču komisijās, iniciatīvās, </w:t>
            </w:r>
            <w:r w:rsidR="00D536B3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o</w:t>
            </w: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);</w:t>
            </w:r>
          </w:p>
          <w:p w14:paraId="039BD57C" w14:textId="77777777" w:rsidR="00605F6D" w:rsidRPr="00B12CA4" w:rsidRDefault="00605F6D" w:rsidP="00B12CA4">
            <w:pPr>
              <w:ind w:left="603" w:hanging="141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-</w:t>
            </w: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ab/>
              <w:t xml:space="preserve">universitātes pārstāvēšana zinātniskās organizācijās, </w:t>
            </w: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starptautiskās organizācijās.</w:t>
            </w:r>
          </w:p>
        </w:tc>
        <w:tc>
          <w:tcPr>
            <w:tcW w:w="2268" w:type="dxa"/>
          </w:tcPr>
          <w:p w14:paraId="0C599C44" w14:textId="77777777" w:rsidR="00605F6D" w:rsidRPr="00B12CA4" w:rsidRDefault="00605F6D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410" w:type="dxa"/>
          </w:tcPr>
          <w:p w14:paraId="64CC8FE5" w14:textId="77777777" w:rsidR="00605F6D" w:rsidRPr="00B12CA4" w:rsidRDefault="00605F6D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179" w:type="dxa"/>
          </w:tcPr>
          <w:p w14:paraId="16B93EDF" w14:textId="77777777" w:rsidR="00605F6D" w:rsidRPr="00B12CA4" w:rsidRDefault="00605F6D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605F6D" w:rsidRPr="00B12CA4" w14:paraId="55A7718C" w14:textId="77777777" w:rsidTr="006A523E">
        <w:tc>
          <w:tcPr>
            <w:tcW w:w="421" w:type="dxa"/>
          </w:tcPr>
          <w:p w14:paraId="305B17C6" w14:textId="77777777" w:rsidR="00605F6D" w:rsidRPr="00B12CA4" w:rsidRDefault="00605F6D" w:rsidP="00B12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6.</w:t>
            </w:r>
          </w:p>
        </w:tc>
        <w:tc>
          <w:tcPr>
            <w:tcW w:w="3118" w:type="dxa"/>
          </w:tcPr>
          <w:p w14:paraId="31ABC426" w14:textId="77777777" w:rsidR="00605F6D" w:rsidRPr="00B12CA4" w:rsidRDefault="00605F6D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Personīgā attīstība:</w:t>
            </w:r>
          </w:p>
          <w:p w14:paraId="2590A8A5" w14:textId="77777777" w:rsidR="00605F6D" w:rsidRPr="00B12CA4" w:rsidRDefault="00605F6D" w:rsidP="00B12CA4">
            <w:pPr>
              <w:ind w:left="603" w:hanging="141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-</w:t>
            </w: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ab/>
              <w:t>akadēmiskā personāla mobilitāte;</w:t>
            </w:r>
          </w:p>
          <w:p w14:paraId="39A27651" w14:textId="77777777" w:rsidR="00605F6D" w:rsidRPr="00B12CA4" w:rsidRDefault="00605F6D" w:rsidP="00B12CA4">
            <w:pPr>
              <w:ind w:left="603" w:hanging="141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-</w:t>
            </w: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ab/>
              <w:t>pieredzes apmaiņas aktivitātes, stažēšanās</w:t>
            </w:r>
            <w:r w:rsidR="006D7207"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;</w:t>
            </w:r>
          </w:p>
          <w:p w14:paraId="28A1D9FE" w14:textId="77777777" w:rsidR="00605F6D" w:rsidRPr="00B12CA4" w:rsidRDefault="00605F6D" w:rsidP="00B12CA4">
            <w:pPr>
              <w:ind w:left="603" w:hanging="141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-</w:t>
            </w: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ab/>
              <w:t>profesionālās pilnveides un mācību semināri, kursi, konferences;</w:t>
            </w:r>
          </w:p>
          <w:p w14:paraId="6434B392" w14:textId="77777777" w:rsidR="00605F6D" w:rsidRPr="00B12CA4" w:rsidRDefault="00605F6D" w:rsidP="00B12CA4">
            <w:pPr>
              <w:ind w:left="603" w:hanging="141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-</w:t>
            </w: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ab/>
            </w:r>
            <w:proofErr w:type="spellStart"/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pašpilnveidošanās</w:t>
            </w:r>
            <w:proofErr w:type="spellEnd"/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aktivitātes.</w:t>
            </w:r>
          </w:p>
        </w:tc>
        <w:tc>
          <w:tcPr>
            <w:tcW w:w="2268" w:type="dxa"/>
          </w:tcPr>
          <w:p w14:paraId="54D9E11F" w14:textId="77777777" w:rsidR="00605F6D" w:rsidRPr="00B12CA4" w:rsidRDefault="00605F6D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410" w:type="dxa"/>
          </w:tcPr>
          <w:p w14:paraId="459E507B" w14:textId="77777777" w:rsidR="00605F6D" w:rsidRPr="00B12CA4" w:rsidRDefault="00605F6D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179" w:type="dxa"/>
          </w:tcPr>
          <w:p w14:paraId="65825FF0" w14:textId="77777777" w:rsidR="00605F6D" w:rsidRPr="00B12CA4" w:rsidRDefault="00605F6D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605F6D" w:rsidRPr="00B12CA4" w14:paraId="2702A9C9" w14:textId="77777777" w:rsidTr="00DE7986">
        <w:tc>
          <w:tcPr>
            <w:tcW w:w="421" w:type="dxa"/>
          </w:tcPr>
          <w:p w14:paraId="13BBEF43" w14:textId="77777777" w:rsidR="00605F6D" w:rsidRPr="00B12CA4" w:rsidRDefault="00605F6D" w:rsidP="00B12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7.</w:t>
            </w:r>
          </w:p>
        </w:tc>
        <w:tc>
          <w:tcPr>
            <w:tcW w:w="3118" w:type="dxa"/>
          </w:tcPr>
          <w:p w14:paraId="2BD6AA4B" w14:textId="77777777" w:rsidR="00605F6D" w:rsidRPr="00B12CA4" w:rsidRDefault="00605F6D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Redzamība sabiedrībā (mediju telpā, forumos, u.tml.), viedokļa līderība.</w:t>
            </w:r>
          </w:p>
        </w:tc>
        <w:tc>
          <w:tcPr>
            <w:tcW w:w="2268" w:type="dxa"/>
          </w:tcPr>
          <w:p w14:paraId="654FC7A0" w14:textId="77777777" w:rsidR="00605F6D" w:rsidRPr="00B12CA4" w:rsidRDefault="00605F6D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410" w:type="dxa"/>
          </w:tcPr>
          <w:p w14:paraId="40AA30CC" w14:textId="77777777" w:rsidR="00605F6D" w:rsidRPr="00B12CA4" w:rsidRDefault="00605F6D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179" w:type="dxa"/>
          </w:tcPr>
          <w:p w14:paraId="5C1EDC9F" w14:textId="77777777" w:rsidR="00605F6D" w:rsidRPr="00B12CA4" w:rsidRDefault="00605F6D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605F6D" w:rsidRPr="00B12CA4" w14:paraId="766549A5" w14:textId="77777777" w:rsidTr="00DE7986">
        <w:tc>
          <w:tcPr>
            <w:tcW w:w="421" w:type="dxa"/>
          </w:tcPr>
          <w:p w14:paraId="2C385EAF" w14:textId="77777777" w:rsidR="00605F6D" w:rsidRPr="00B12CA4" w:rsidRDefault="00605F6D" w:rsidP="00B12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8.</w:t>
            </w:r>
          </w:p>
        </w:tc>
        <w:tc>
          <w:tcPr>
            <w:tcW w:w="3118" w:type="dxa"/>
          </w:tcPr>
          <w:p w14:paraId="0995312D" w14:textId="77777777" w:rsidR="00605F6D" w:rsidRPr="00B12CA4" w:rsidRDefault="00605F6D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Dažādi apbalvojumi un atzinības.</w:t>
            </w:r>
          </w:p>
        </w:tc>
        <w:tc>
          <w:tcPr>
            <w:tcW w:w="2268" w:type="dxa"/>
          </w:tcPr>
          <w:p w14:paraId="3B8C3768" w14:textId="77777777" w:rsidR="00605F6D" w:rsidRPr="00B12CA4" w:rsidRDefault="00605F6D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410" w:type="dxa"/>
          </w:tcPr>
          <w:p w14:paraId="0D366322" w14:textId="77777777" w:rsidR="00605F6D" w:rsidRPr="00B12CA4" w:rsidRDefault="00605F6D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179" w:type="dxa"/>
          </w:tcPr>
          <w:p w14:paraId="7A85B45D" w14:textId="77777777" w:rsidR="00605F6D" w:rsidRPr="00B12CA4" w:rsidRDefault="00605F6D" w:rsidP="00B12C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391766" w:rsidRPr="00B12CA4" w14:paraId="4336128D" w14:textId="77777777" w:rsidTr="00DE7986">
        <w:tc>
          <w:tcPr>
            <w:tcW w:w="9396" w:type="dxa"/>
            <w:gridSpan w:val="5"/>
          </w:tcPr>
          <w:p w14:paraId="26C73481" w14:textId="77777777" w:rsidR="00391766" w:rsidRPr="00B12CA4" w:rsidRDefault="00391766" w:rsidP="00B12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Vērtējuma pamatojums: [ierakstīt]</w:t>
            </w:r>
          </w:p>
        </w:tc>
      </w:tr>
    </w:tbl>
    <w:p w14:paraId="0C729553" w14:textId="77777777" w:rsidR="00605F6D" w:rsidRPr="00B12CA4" w:rsidRDefault="00605F6D" w:rsidP="00B12CA4">
      <w:pPr>
        <w:tabs>
          <w:tab w:val="left" w:pos="247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</w:pPr>
    </w:p>
    <w:sectPr w:rsidR="00605F6D" w:rsidRPr="00B12CA4" w:rsidSect="00C74C6F">
      <w:headerReference w:type="default" r:id="rId11"/>
      <w:footerReference w:type="default" r:id="rId12"/>
      <w:pgSz w:w="12240" w:h="15840"/>
      <w:pgMar w:top="1417" w:right="1417" w:bottom="1417" w:left="141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E55CD" w14:textId="77777777" w:rsidR="00143D7E" w:rsidRDefault="00143D7E" w:rsidP="00171058">
      <w:pPr>
        <w:spacing w:after="0" w:line="240" w:lineRule="auto"/>
      </w:pPr>
      <w:r>
        <w:separator/>
      </w:r>
    </w:p>
  </w:endnote>
  <w:endnote w:type="continuationSeparator" w:id="0">
    <w:p w14:paraId="6D769198" w14:textId="77777777" w:rsidR="00143D7E" w:rsidRDefault="00143D7E" w:rsidP="00171058">
      <w:pPr>
        <w:spacing w:after="0" w:line="240" w:lineRule="auto"/>
      </w:pPr>
      <w:r>
        <w:continuationSeparator/>
      </w:r>
    </w:p>
  </w:endnote>
  <w:endnote w:type="continuationNotice" w:id="1">
    <w:p w14:paraId="6E3BC277" w14:textId="77777777" w:rsidR="00143D7E" w:rsidRDefault="00143D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382082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1EE716B0" w14:textId="11078A2C" w:rsidR="00C65517" w:rsidRPr="00D33AC0" w:rsidRDefault="00C65517">
        <w:pPr>
          <w:pStyle w:val="Kjene"/>
          <w:jc w:val="right"/>
          <w:rPr>
            <w:sz w:val="16"/>
            <w:szCs w:val="16"/>
          </w:rPr>
        </w:pPr>
        <w:r w:rsidRPr="00D33AC0">
          <w:rPr>
            <w:sz w:val="16"/>
            <w:szCs w:val="16"/>
          </w:rPr>
          <w:fldChar w:fldCharType="begin"/>
        </w:r>
        <w:r w:rsidRPr="00D33AC0">
          <w:rPr>
            <w:sz w:val="16"/>
            <w:szCs w:val="16"/>
          </w:rPr>
          <w:instrText xml:space="preserve"> PAGE   \* MERGEFORMAT </w:instrText>
        </w:r>
        <w:r w:rsidRPr="00D33AC0">
          <w:rPr>
            <w:sz w:val="16"/>
            <w:szCs w:val="16"/>
          </w:rPr>
          <w:fldChar w:fldCharType="separate"/>
        </w:r>
        <w:r w:rsidR="00863202">
          <w:rPr>
            <w:noProof/>
            <w:sz w:val="16"/>
            <w:szCs w:val="16"/>
          </w:rPr>
          <w:t>1</w:t>
        </w:r>
        <w:r w:rsidRPr="00D33AC0">
          <w:rPr>
            <w:noProof/>
            <w:sz w:val="16"/>
            <w:szCs w:val="16"/>
          </w:rPr>
          <w:fldChar w:fldCharType="end"/>
        </w:r>
      </w:p>
    </w:sdtContent>
  </w:sdt>
  <w:p w14:paraId="225E2798" w14:textId="77777777" w:rsidR="00C65517" w:rsidRDefault="00C6551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1CDF0" w14:textId="77777777" w:rsidR="00143D7E" w:rsidRDefault="00143D7E" w:rsidP="00171058">
      <w:pPr>
        <w:spacing w:after="0" w:line="240" w:lineRule="auto"/>
      </w:pPr>
      <w:r>
        <w:separator/>
      </w:r>
    </w:p>
  </w:footnote>
  <w:footnote w:type="continuationSeparator" w:id="0">
    <w:p w14:paraId="5B967DE3" w14:textId="77777777" w:rsidR="00143D7E" w:rsidRDefault="00143D7E" w:rsidP="00171058">
      <w:pPr>
        <w:spacing w:after="0" w:line="240" w:lineRule="auto"/>
      </w:pPr>
      <w:r>
        <w:continuationSeparator/>
      </w:r>
    </w:p>
  </w:footnote>
  <w:footnote w:type="continuationNotice" w:id="1">
    <w:p w14:paraId="36D4C963" w14:textId="77777777" w:rsidR="00143D7E" w:rsidRDefault="00143D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1337" w14:textId="77777777" w:rsidR="00C65517" w:rsidRPr="00A659FD" w:rsidRDefault="00C65517" w:rsidP="00A659FD">
    <w:pPr>
      <w:pStyle w:val="Galvene"/>
      <w:jc w:val="right"/>
      <w:rPr>
        <w:color w:val="767171" w:themeColor="background2" w:themeShade="80"/>
        <w:sz w:val="18"/>
        <w:szCs w:val="18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409F"/>
    <w:multiLevelType w:val="hybridMultilevel"/>
    <w:tmpl w:val="1C3816A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B722E"/>
    <w:multiLevelType w:val="multilevel"/>
    <w:tmpl w:val="B9DA6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C1D627D"/>
    <w:multiLevelType w:val="hybridMultilevel"/>
    <w:tmpl w:val="FDA2C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22D27"/>
    <w:multiLevelType w:val="hybridMultilevel"/>
    <w:tmpl w:val="4F806FB4"/>
    <w:lvl w:ilvl="0" w:tplc="3C12F16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01DE0"/>
    <w:multiLevelType w:val="hybridMultilevel"/>
    <w:tmpl w:val="A3E4EB50"/>
    <w:lvl w:ilvl="0" w:tplc="04E057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1692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523F2E"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A83A44"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5E1A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9CCF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0A38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6ABA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9890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A60E7"/>
    <w:multiLevelType w:val="hybridMultilevel"/>
    <w:tmpl w:val="3B28F4E0"/>
    <w:lvl w:ilvl="0" w:tplc="04260005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19FD2724"/>
    <w:multiLevelType w:val="multilevel"/>
    <w:tmpl w:val="4320A5C6"/>
    <w:lvl w:ilvl="0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393B68"/>
    <w:multiLevelType w:val="multilevel"/>
    <w:tmpl w:val="740A460A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8" w15:restartNumberingAfterBreak="0">
    <w:nsid w:val="1D6C68B5"/>
    <w:multiLevelType w:val="hybridMultilevel"/>
    <w:tmpl w:val="22441760"/>
    <w:lvl w:ilvl="0" w:tplc="71DEB4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81358"/>
    <w:multiLevelType w:val="hybridMultilevel"/>
    <w:tmpl w:val="680283C0"/>
    <w:lvl w:ilvl="0" w:tplc="3F9C8D4E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5226A"/>
    <w:multiLevelType w:val="hybridMultilevel"/>
    <w:tmpl w:val="D6143D4E"/>
    <w:lvl w:ilvl="0" w:tplc="73E6BEDE">
      <w:start w:val="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31A03"/>
    <w:multiLevelType w:val="hybridMultilevel"/>
    <w:tmpl w:val="4196A1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325FB"/>
    <w:multiLevelType w:val="hybridMultilevel"/>
    <w:tmpl w:val="B1C44E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33C57"/>
    <w:multiLevelType w:val="multilevel"/>
    <w:tmpl w:val="06B22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03115A2"/>
    <w:multiLevelType w:val="hybridMultilevel"/>
    <w:tmpl w:val="AA5C2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93DD9"/>
    <w:multiLevelType w:val="hybridMultilevel"/>
    <w:tmpl w:val="BB3428F8"/>
    <w:lvl w:ilvl="0" w:tplc="782E1FE4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323233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CB1FC6"/>
    <w:multiLevelType w:val="multilevel"/>
    <w:tmpl w:val="9CFCE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9A936F8"/>
    <w:multiLevelType w:val="multilevel"/>
    <w:tmpl w:val="3A6457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470880"/>
    <w:multiLevelType w:val="hybridMultilevel"/>
    <w:tmpl w:val="B58C4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D1CA2"/>
    <w:multiLevelType w:val="hybridMultilevel"/>
    <w:tmpl w:val="6978A9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403987"/>
    <w:multiLevelType w:val="hybridMultilevel"/>
    <w:tmpl w:val="BB8EC976"/>
    <w:lvl w:ilvl="0" w:tplc="8AB24C1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24F0AC1"/>
    <w:multiLevelType w:val="hybridMultilevel"/>
    <w:tmpl w:val="BE486CC4"/>
    <w:lvl w:ilvl="0" w:tplc="5BC033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43B24"/>
    <w:multiLevelType w:val="multilevel"/>
    <w:tmpl w:val="D38E8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color w:val="000000"/>
      </w:rPr>
    </w:lvl>
  </w:abstractNum>
  <w:abstractNum w:abstractNumId="23" w15:restartNumberingAfterBreak="0">
    <w:nsid w:val="4C232288"/>
    <w:multiLevelType w:val="hybridMultilevel"/>
    <w:tmpl w:val="B58C4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37765"/>
    <w:multiLevelType w:val="hybridMultilevel"/>
    <w:tmpl w:val="D3AC27E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B6C69"/>
    <w:multiLevelType w:val="hybridMultilevel"/>
    <w:tmpl w:val="FB268322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E1087"/>
    <w:multiLevelType w:val="hybridMultilevel"/>
    <w:tmpl w:val="45D8D1C0"/>
    <w:lvl w:ilvl="0" w:tplc="1E54E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16F5A"/>
    <w:multiLevelType w:val="hybridMultilevel"/>
    <w:tmpl w:val="4B1032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E21AC"/>
    <w:multiLevelType w:val="hybridMultilevel"/>
    <w:tmpl w:val="B58C4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56DDD"/>
    <w:multiLevelType w:val="multilevel"/>
    <w:tmpl w:val="06B22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F976580"/>
    <w:multiLevelType w:val="multilevel"/>
    <w:tmpl w:val="06B22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2C55A71"/>
    <w:multiLevelType w:val="multilevel"/>
    <w:tmpl w:val="D73E1B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6824F6E"/>
    <w:multiLevelType w:val="hybridMultilevel"/>
    <w:tmpl w:val="BA6C31D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33546D"/>
    <w:multiLevelType w:val="multilevel"/>
    <w:tmpl w:val="47CE00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695A67A8"/>
    <w:multiLevelType w:val="hybridMultilevel"/>
    <w:tmpl w:val="AA1C7F40"/>
    <w:lvl w:ilvl="0" w:tplc="F212410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5C3A88"/>
    <w:multiLevelType w:val="hybridMultilevel"/>
    <w:tmpl w:val="8F6493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F53C7"/>
    <w:multiLevelType w:val="hybridMultilevel"/>
    <w:tmpl w:val="FF42248A"/>
    <w:lvl w:ilvl="0" w:tplc="B12C86D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Arial" w:hint="default"/>
        <w:color w:val="323233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7860B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883056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B233237"/>
    <w:multiLevelType w:val="multilevel"/>
    <w:tmpl w:val="3D94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FA659FA"/>
    <w:multiLevelType w:val="hybridMultilevel"/>
    <w:tmpl w:val="9BD60730"/>
    <w:lvl w:ilvl="0" w:tplc="D0FA97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15"/>
  </w:num>
  <w:num w:numId="4">
    <w:abstractNumId w:val="19"/>
  </w:num>
  <w:num w:numId="5">
    <w:abstractNumId w:val="16"/>
  </w:num>
  <w:num w:numId="6">
    <w:abstractNumId w:val="31"/>
  </w:num>
  <w:num w:numId="7">
    <w:abstractNumId w:val="32"/>
  </w:num>
  <w:num w:numId="8">
    <w:abstractNumId w:val="35"/>
  </w:num>
  <w:num w:numId="9">
    <w:abstractNumId w:val="20"/>
  </w:num>
  <w:num w:numId="10">
    <w:abstractNumId w:val="26"/>
  </w:num>
  <w:num w:numId="11">
    <w:abstractNumId w:val="28"/>
  </w:num>
  <w:num w:numId="12">
    <w:abstractNumId w:val="23"/>
  </w:num>
  <w:num w:numId="13">
    <w:abstractNumId w:val="40"/>
  </w:num>
  <w:num w:numId="14">
    <w:abstractNumId w:val="18"/>
  </w:num>
  <w:num w:numId="15">
    <w:abstractNumId w:val="21"/>
  </w:num>
  <w:num w:numId="16">
    <w:abstractNumId w:val="14"/>
  </w:num>
  <w:num w:numId="17">
    <w:abstractNumId w:val="2"/>
  </w:num>
  <w:num w:numId="18">
    <w:abstractNumId w:val="7"/>
  </w:num>
  <w:num w:numId="19">
    <w:abstractNumId w:val="8"/>
  </w:num>
  <w:num w:numId="20">
    <w:abstractNumId w:val="37"/>
  </w:num>
  <w:num w:numId="21">
    <w:abstractNumId w:val="38"/>
  </w:num>
  <w:num w:numId="22">
    <w:abstractNumId w:val="12"/>
  </w:num>
  <w:num w:numId="23">
    <w:abstractNumId w:val="9"/>
  </w:num>
  <w:num w:numId="24">
    <w:abstractNumId w:val="4"/>
  </w:num>
  <w:num w:numId="25">
    <w:abstractNumId w:val="30"/>
  </w:num>
  <w:num w:numId="26">
    <w:abstractNumId w:val="13"/>
  </w:num>
  <w:num w:numId="27">
    <w:abstractNumId w:val="29"/>
  </w:num>
  <w:num w:numId="28">
    <w:abstractNumId w:val="22"/>
  </w:num>
  <w:num w:numId="29">
    <w:abstractNumId w:val="34"/>
  </w:num>
  <w:num w:numId="30">
    <w:abstractNumId w:val="3"/>
  </w:num>
  <w:num w:numId="31">
    <w:abstractNumId w:val="25"/>
  </w:num>
  <w:num w:numId="32">
    <w:abstractNumId w:val="0"/>
  </w:num>
  <w:num w:numId="33">
    <w:abstractNumId w:val="39"/>
  </w:num>
  <w:num w:numId="34">
    <w:abstractNumId w:val="33"/>
  </w:num>
  <w:num w:numId="35">
    <w:abstractNumId w:val="1"/>
  </w:num>
  <w:num w:numId="36">
    <w:abstractNumId w:val="5"/>
  </w:num>
  <w:num w:numId="37">
    <w:abstractNumId w:val="6"/>
  </w:num>
  <w:num w:numId="38">
    <w:abstractNumId w:val="10"/>
  </w:num>
  <w:num w:numId="39">
    <w:abstractNumId w:val="24"/>
  </w:num>
  <w:num w:numId="40">
    <w:abstractNumId w:val="27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0FB"/>
    <w:rsid w:val="00001289"/>
    <w:rsid w:val="0000210F"/>
    <w:rsid w:val="0000516C"/>
    <w:rsid w:val="00013092"/>
    <w:rsid w:val="000152C2"/>
    <w:rsid w:val="00016C89"/>
    <w:rsid w:val="000174CC"/>
    <w:rsid w:val="000208CD"/>
    <w:rsid w:val="000229D3"/>
    <w:rsid w:val="00026E8F"/>
    <w:rsid w:val="00033364"/>
    <w:rsid w:val="000340E2"/>
    <w:rsid w:val="000415EF"/>
    <w:rsid w:val="00041810"/>
    <w:rsid w:val="00043EA0"/>
    <w:rsid w:val="00045D23"/>
    <w:rsid w:val="0004633B"/>
    <w:rsid w:val="0004657B"/>
    <w:rsid w:val="00053544"/>
    <w:rsid w:val="00054AC4"/>
    <w:rsid w:val="000613C8"/>
    <w:rsid w:val="00061B17"/>
    <w:rsid w:val="000629FD"/>
    <w:rsid w:val="00063F32"/>
    <w:rsid w:val="00071416"/>
    <w:rsid w:val="00072790"/>
    <w:rsid w:val="00074D03"/>
    <w:rsid w:val="00076FD4"/>
    <w:rsid w:val="000849D5"/>
    <w:rsid w:val="00084E02"/>
    <w:rsid w:val="00086CA5"/>
    <w:rsid w:val="00087D99"/>
    <w:rsid w:val="0009193A"/>
    <w:rsid w:val="0009214D"/>
    <w:rsid w:val="000944B0"/>
    <w:rsid w:val="000A01CA"/>
    <w:rsid w:val="000A0DBE"/>
    <w:rsid w:val="000A21C6"/>
    <w:rsid w:val="000A227B"/>
    <w:rsid w:val="000A2299"/>
    <w:rsid w:val="000A2811"/>
    <w:rsid w:val="000A6F29"/>
    <w:rsid w:val="000B2915"/>
    <w:rsid w:val="000B320A"/>
    <w:rsid w:val="000B4711"/>
    <w:rsid w:val="000B62D4"/>
    <w:rsid w:val="000C2B18"/>
    <w:rsid w:val="000C3DBC"/>
    <w:rsid w:val="000C54C9"/>
    <w:rsid w:val="000D0F19"/>
    <w:rsid w:val="000D39AE"/>
    <w:rsid w:val="000D4A7D"/>
    <w:rsid w:val="000E053D"/>
    <w:rsid w:val="000E41D9"/>
    <w:rsid w:val="000E6011"/>
    <w:rsid w:val="000F2693"/>
    <w:rsid w:val="00105407"/>
    <w:rsid w:val="001055D0"/>
    <w:rsid w:val="001060D5"/>
    <w:rsid w:val="001065DE"/>
    <w:rsid w:val="0010719E"/>
    <w:rsid w:val="00111247"/>
    <w:rsid w:val="00114B9B"/>
    <w:rsid w:val="00115863"/>
    <w:rsid w:val="00121EC0"/>
    <w:rsid w:val="001271F3"/>
    <w:rsid w:val="0012730D"/>
    <w:rsid w:val="00132405"/>
    <w:rsid w:val="00136C38"/>
    <w:rsid w:val="00142035"/>
    <w:rsid w:val="00142D14"/>
    <w:rsid w:val="00143D7E"/>
    <w:rsid w:val="001461C8"/>
    <w:rsid w:val="00147770"/>
    <w:rsid w:val="00151651"/>
    <w:rsid w:val="00156103"/>
    <w:rsid w:val="00156B38"/>
    <w:rsid w:val="00156F3D"/>
    <w:rsid w:val="00162807"/>
    <w:rsid w:val="00163AA2"/>
    <w:rsid w:val="00163FE7"/>
    <w:rsid w:val="001679D3"/>
    <w:rsid w:val="00171058"/>
    <w:rsid w:val="00173B91"/>
    <w:rsid w:val="0017562A"/>
    <w:rsid w:val="0017710B"/>
    <w:rsid w:val="001800E7"/>
    <w:rsid w:val="00180884"/>
    <w:rsid w:val="00184E22"/>
    <w:rsid w:val="0019612D"/>
    <w:rsid w:val="001A1C22"/>
    <w:rsid w:val="001A3148"/>
    <w:rsid w:val="001A4B3E"/>
    <w:rsid w:val="001B17E7"/>
    <w:rsid w:val="001B3A32"/>
    <w:rsid w:val="001B3AD9"/>
    <w:rsid w:val="001B762B"/>
    <w:rsid w:val="001C028D"/>
    <w:rsid w:val="001C06FE"/>
    <w:rsid w:val="001C0FCA"/>
    <w:rsid w:val="001C500C"/>
    <w:rsid w:val="001C63FC"/>
    <w:rsid w:val="001D04AB"/>
    <w:rsid w:val="001D05E6"/>
    <w:rsid w:val="001D1150"/>
    <w:rsid w:val="001D11E5"/>
    <w:rsid w:val="001D58B8"/>
    <w:rsid w:val="001D5E62"/>
    <w:rsid w:val="001E0812"/>
    <w:rsid w:val="001E093E"/>
    <w:rsid w:val="001E1CA5"/>
    <w:rsid w:val="001E390C"/>
    <w:rsid w:val="001E6F8E"/>
    <w:rsid w:val="001E7A81"/>
    <w:rsid w:val="001F285F"/>
    <w:rsid w:val="001F5BD0"/>
    <w:rsid w:val="001F6F92"/>
    <w:rsid w:val="001F74B0"/>
    <w:rsid w:val="001F787D"/>
    <w:rsid w:val="00200832"/>
    <w:rsid w:val="002029C0"/>
    <w:rsid w:val="00205050"/>
    <w:rsid w:val="00205309"/>
    <w:rsid w:val="00207326"/>
    <w:rsid w:val="002116D8"/>
    <w:rsid w:val="00212AB6"/>
    <w:rsid w:val="00212D07"/>
    <w:rsid w:val="00212DFA"/>
    <w:rsid w:val="002141C3"/>
    <w:rsid w:val="00214A71"/>
    <w:rsid w:val="00215347"/>
    <w:rsid w:val="002160C9"/>
    <w:rsid w:val="002172B2"/>
    <w:rsid w:val="002214EF"/>
    <w:rsid w:val="00227C63"/>
    <w:rsid w:val="00231D98"/>
    <w:rsid w:val="002339F4"/>
    <w:rsid w:val="00236842"/>
    <w:rsid w:val="00242566"/>
    <w:rsid w:val="00242720"/>
    <w:rsid w:val="00242867"/>
    <w:rsid w:val="002466ED"/>
    <w:rsid w:val="00251673"/>
    <w:rsid w:val="00251A4F"/>
    <w:rsid w:val="00255BBC"/>
    <w:rsid w:val="0027350D"/>
    <w:rsid w:val="00273620"/>
    <w:rsid w:val="00280A46"/>
    <w:rsid w:val="00284F61"/>
    <w:rsid w:val="00285965"/>
    <w:rsid w:val="00293DB4"/>
    <w:rsid w:val="00293DEB"/>
    <w:rsid w:val="00296B1E"/>
    <w:rsid w:val="002A1C5F"/>
    <w:rsid w:val="002A32A9"/>
    <w:rsid w:val="002B06FA"/>
    <w:rsid w:val="002B47C7"/>
    <w:rsid w:val="002B5F3D"/>
    <w:rsid w:val="002C074B"/>
    <w:rsid w:val="002C111B"/>
    <w:rsid w:val="002C1851"/>
    <w:rsid w:val="002C26CD"/>
    <w:rsid w:val="002C38C6"/>
    <w:rsid w:val="002C56BC"/>
    <w:rsid w:val="002D2B61"/>
    <w:rsid w:val="002D46C0"/>
    <w:rsid w:val="002D547F"/>
    <w:rsid w:val="002D72DB"/>
    <w:rsid w:val="002D75A0"/>
    <w:rsid w:val="002E2F66"/>
    <w:rsid w:val="002E53AD"/>
    <w:rsid w:val="002E7449"/>
    <w:rsid w:val="002E7D1A"/>
    <w:rsid w:val="002F104A"/>
    <w:rsid w:val="002F18CA"/>
    <w:rsid w:val="002F6BB9"/>
    <w:rsid w:val="0030505E"/>
    <w:rsid w:val="0031130E"/>
    <w:rsid w:val="003158D2"/>
    <w:rsid w:val="003172D9"/>
    <w:rsid w:val="0032448D"/>
    <w:rsid w:val="00326ED6"/>
    <w:rsid w:val="003270EA"/>
    <w:rsid w:val="00331384"/>
    <w:rsid w:val="003318B7"/>
    <w:rsid w:val="00331B36"/>
    <w:rsid w:val="00335822"/>
    <w:rsid w:val="00335C8F"/>
    <w:rsid w:val="00336183"/>
    <w:rsid w:val="003369EE"/>
    <w:rsid w:val="00341A40"/>
    <w:rsid w:val="00350FA1"/>
    <w:rsid w:val="00354B08"/>
    <w:rsid w:val="00356A09"/>
    <w:rsid w:val="00360662"/>
    <w:rsid w:val="0036360D"/>
    <w:rsid w:val="00363D4A"/>
    <w:rsid w:val="00377710"/>
    <w:rsid w:val="00387846"/>
    <w:rsid w:val="00391766"/>
    <w:rsid w:val="0039225A"/>
    <w:rsid w:val="00392F2B"/>
    <w:rsid w:val="00395A6B"/>
    <w:rsid w:val="00397278"/>
    <w:rsid w:val="00397B51"/>
    <w:rsid w:val="003A07F8"/>
    <w:rsid w:val="003A16FF"/>
    <w:rsid w:val="003A3081"/>
    <w:rsid w:val="003A6667"/>
    <w:rsid w:val="003B02D0"/>
    <w:rsid w:val="003B26FE"/>
    <w:rsid w:val="003B4682"/>
    <w:rsid w:val="003B50AB"/>
    <w:rsid w:val="003B70FB"/>
    <w:rsid w:val="003C2FE7"/>
    <w:rsid w:val="003C3792"/>
    <w:rsid w:val="003C45D7"/>
    <w:rsid w:val="003C748E"/>
    <w:rsid w:val="003D573F"/>
    <w:rsid w:val="003D60FA"/>
    <w:rsid w:val="003E1055"/>
    <w:rsid w:val="003E1F49"/>
    <w:rsid w:val="003E3909"/>
    <w:rsid w:val="003E6469"/>
    <w:rsid w:val="003E7110"/>
    <w:rsid w:val="003F3E0C"/>
    <w:rsid w:val="003F4707"/>
    <w:rsid w:val="003F5D9B"/>
    <w:rsid w:val="00403009"/>
    <w:rsid w:val="004032F0"/>
    <w:rsid w:val="00405D08"/>
    <w:rsid w:val="004072F6"/>
    <w:rsid w:val="004143A8"/>
    <w:rsid w:val="004157FE"/>
    <w:rsid w:val="00424636"/>
    <w:rsid w:val="004257EF"/>
    <w:rsid w:val="00426AF2"/>
    <w:rsid w:val="00432686"/>
    <w:rsid w:val="00435DF0"/>
    <w:rsid w:val="0043641F"/>
    <w:rsid w:val="0044295C"/>
    <w:rsid w:val="004439E2"/>
    <w:rsid w:val="00453C62"/>
    <w:rsid w:val="00454144"/>
    <w:rsid w:val="00455C69"/>
    <w:rsid w:val="00461CA9"/>
    <w:rsid w:val="004636B6"/>
    <w:rsid w:val="00464FF2"/>
    <w:rsid w:val="004668D4"/>
    <w:rsid w:val="00473533"/>
    <w:rsid w:val="00474BD4"/>
    <w:rsid w:val="00475CB6"/>
    <w:rsid w:val="004765D2"/>
    <w:rsid w:val="0048688F"/>
    <w:rsid w:val="00491A95"/>
    <w:rsid w:val="0049473A"/>
    <w:rsid w:val="00496135"/>
    <w:rsid w:val="00496293"/>
    <w:rsid w:val="00496772"/>
    <w:rsid w:val="004A4177"/>
    <w:rsid w:val="004A4835"/>
    <w:rsid w:val="004A56FD"/>
    <w:rsid w:val="004A60BC"/>
    <w:rsid w:val="004A7B58"/>
    <w:rsid w:val="004B0C2F"/>
    <w:rsid w:val="004B0F14"/>
    <w:rsid w:val="004B7236"/>
    <w:rsid w:val="004C254D"/>
    <w:rsid w:val="004C4283"/>
    <w:rsid w:val="004C485C"/>
    <w:rsid w:val="004C703C"/>
    <w:rsid w:val="004D0A9B"/>
    <w:rsid w:val="004D276F"/>
    <w:rsid w:val="004D424D"/>
    <w:rsid w:val="004D760C"/>
    <w:rsid w:val="004E2871"/>
    <w:rsid w:val="004E2A6F"/>
    <w:rsid w:val="004E45FF"/>
    <w:rsid w:val="004E576A"/>
    <w:rsid w:val="004F0FED"/>
    <w:rsid w:val="004F15BC"/>
    <w:rsid w:val="005022D6"/>
    <w:rsid w:val="00503BE4"/>
    <w:rsid w:val="005060B6"/>
    <w:rsid w:val="005060BE"/>
    <w:rsid w:val="00510DA9"/>
    <w:rsid w:val="00514445"/>
    <w:rsid w:val="00516058"/>
    <w:rsid w:val="005176ED"/>
    <w:rsid w:val="00517791"/>
    <w:rsid w:val="00517EEC"/>
    <w:rsid w:val="00517F52"/>
    <w:rsid w:val="00520BDF"/>
    <w:rsid w:val="005313A8"/>
    <w:rsid w:val="00531525"/>
    <w:rsid w:val="005319E8"/>
    <w:rsid w:val="00531FA4"/>
    <w:rsid w:val="0053430D"/>
    <w:rsid w:val="00534774"/>
    <w:rsid w:val="00537DD5"/>
    <w:rsid w:val="005407D4"/>
    <w:rsid w:val="005465A6"/>
    <w:rsid w:val="00550506"/>
    <w:rsid w:val="00552A67"/>
    <w:rsid w:val="0055467B"/>
    <w:rsid w:val="00557755"/>
    <w:rsid w:val="00563FCB"/>
    <w:rsid w:val="005674B4"/>
    <w:rsid w:val="0057070E"/>
    <w:rsid w:val="00572CE7"/>
    <w:rsid w:val="005801C9"/>
    <w:rsid w:val="0058020D"/>
    <w:rsid w:val="005810F9"/>
    <w:rsid w:val="00587E90"/>
    <w:rsid w:val="00590098"/>
    <w:rsid w:val="00591955"/>
    <w:rsid w:val="00591DFB"/>
    <w:rsid w:val="005938D6"/>
    <w:rsid w:val="0059625F"/>
    <w:rsid w:val="00596C80"/>
    <w:rsid w:val="005A4032"/>
    <w:rsid w:val="005A518C"/>
    <w:rsid w:val="005A6A50"/>
    <w:rsid w:val="005A6BB8"/>
    <w:rsid w:val="005B0DB5"/>
    <w:rsid w:val="005B24B2"/>
    <w:rsid w:val="005B2E0D"/>
    <w:rsid w:val="005C1713"/>
    <w:rsid w:val="005C4BB6"/>
    <w:rsid w:val="005C4DFA"/>
    <w:rsid w:val="005D2BC2"/>
    <w:rsid w:val="005D463D"/>
    <w:rsid w:val="005D63A3"/>
    <w:rsid w:val="005E0F16"/>
    <w:rsid w:val="005E20DC"/>
    <w:rsid w:val="005E5713"/>
    <w:rsid w:val="005E6E39"/>
    <w:rsid w:val="005E7C53"/>
    <w:rsid w:val="005F080C"/>
    <w:rsid w:val="005F25F0"/>
    <w:rsid w:val="005F4279"/>
    <w:rsid w:val="005F434D"/>
    <w:rsid w:val="00600B18"/>
    <w:rsid w:val="0060141E"/>
    <w:rsid w:val="00605F6D"/>
    <w:rsid w:val="00612C7F"/>
    <w:rsid w:val="006132E9"/>
    <w:rsid w:val="006175E6"/>
    <w:rsid w:val="006205DC"/>
    <w:rsid w:val="0062092A"/>
    <w:rsid w:val="00621DBA"/>
    <w:rsid w:val="00621FC7"/>
    <w:rsid w:val="00622154"/>
    <w:rsid w:val="006230E3"/>
    <w:rsid w:val="00626CDB"/>
    <w:rsid w:val="006270D0"/>
    <w:rsid w:val="00632174"/>
    <w:rsid w:val="00633482"/>
    <w:rsid w:val="00635605"/>
    <w:rsid w:val="006377FE"/>
    <w:rsid w:val="0064021D"/>
    <w:rsid w:val="006408CA"/>
    <w:rsid w:val="00641A04"/>
    <w:rsid w:val="00642FF8"/>
    <w:rsid w:val="006478A7"/>
    <w:rsid w:val="00652C6D"/>
    <w:rsid w:val="00657493"/>
    <w:rsid w:val="00665C8E"/>
    <w:rsid w:val="006672A5"/>
    <w:rsid w:val="00671DB8"/>
    <w:rsid w:val="00673D2C"/>
    <w:rsid w:val="00676D1B"/>
    <w:rsid w:val="00683011"/>
    <w:rsid w:val="00683E37"/>
    <w:rsid w:val="00690877"/>
    <w:rsid w:val="006959E9"/>
    <w:rsid w:val="006966CC"/>
    <w:rsid w:val="006970CF"/>
    <w:rsid w:val="006A1CCF"/>
    <w:rsid w:val="006A39BC"/>
    <w:rsid w:val="006A490D"/>
    <w:rsid w:val="006A523E"/>
    <w:rsid w:val="006A58AB"/>
    <w:rsid w:val="006B43C6"/>
    <w:rsid w:val="006B6254"/>
    <w:rsid w:val="006B7228"/>
    <w:rsid w:val="006B7BC0"/>
    <w:rsid w:val="006B7ECC"/>
    <w:rsid w:val="006C091C"/>
    <w:rsid w:val="006C2AF8"/>
    <w:rsid w:val="006C2B2E"/>
    <w:rsid w:val="006D04A7"/>
    <w:rsid w:val="006D2D03"/>
    <w:rsid w:val="006D7207"/>
    <w:rsid w:val="006E549A"/>
    <w:rsid w:val="006F2B89"/>
    <w:rsid w:val="006F3233"/>
    <w:rsid w:val="006F5FEC"/>
    <w:rsid w:val="007012AF"/>
    <w:rsid w:val="0070191C"/>
    <w:rsid w:val="00705E79"/>
    <w:rsid w:val="007067F7"/>
    <w:rsid w:val="00707D3A"/>
    <w:rsid w:val="00712D46"/>
    <w:rsid w:val="00715F5D"/>
    <w:rsid w:val="00722185"/>
    <w:rsid w:val="00723233"/>
    <w:rsid w:val="00723A5C"/>
    <w:rsid w:val="00725E0D"/>
    <w:rsid w:val="0072725D"/>
    <w:rsid w:val="00733C91"/>
    <w:rsid w:val="007341AC"/>
    <w:rsid w:val="00735CBD"/>
    <w:rsid w:val="007436F7"/>
    <w:rsid w:val="00751827"/>
    <w:rsid w:val="007524ED"/>
    <w:rsid w:val="00753E1B"/>
    <w:rsid w:val="0075434E"/>
    <w:rsid w:val="00757680"/>
    <w:rsid w:val="00757DF9"/>
    <w:rsid w:val="00761293"/>
    <w:rsid w:val="00761E70"/>
    <w:rsid w:val="0076262B"/>
    <w:rsid w:val="00763B23"/>
    <w:rsid w:val="00773732"/>
    <w:rsid w:val="00774AF1"/>
    <w:rsid w:val="007753CE"/>
    <w:rsid w:val="00780B55"/>
    <w:rsid w:val="00786450"/>
    <w:rsid w:val="007929E2"/>
    <w:rsid w:val="00795523"/>
    <w:rsid w:val="0079571C"/>
    <w:rsid w:val="007A308A"/>
    <w:rsid w:val="007A35F4"/>
    <w:rsid w:val="007A5D76"/>
    <w:rsid w:val="007B375E"/>
    <w:rsid w:val="007B4694"/>
    <w:rsid w:val="007B5E4C"/>
    <w:rsid w:val="007B7C86"/>
    <w:rsid w:val="007B7ED6"/>
    <w:rsid w:val="007C6866"/>
    <w:rsid w:val="007C72AC"/>
    <w:rsid w:val="007E035D"/>
    <w:rsid w:val="007E0A3B"/>
    <w:rsid w:val="007E0C38"/>
    <w:rsid w:val="007E13D2"/>
    <w:rsid w:val="007E28BA"/>
    <w:rsid w:val="007E28F1"/>
    <w:rsid w:val="007F4F9A"/>
    <w:rsid w:val="008039DA"/>
    <w:rsid w:val="00807B2D"/>
    <w:rsid w:val="00814C97"/>
    <w:rsid w:val="00820F20"/>
    <w:rsid w:val="008214FA"/>
    <w:rsid w:val="0082391D"/>
    <w:rsid w:val="00826640"/>
    <w:rsid w:val="00833025"/>
    <w:rsid w:val="00834DE5"/>
    <w:rsid w:val="00840D5D"/>
    <w:rsid w:val="0084228D"/>
    <w:rsid w:val="008440E3"/>
    <w:rsid w:val="00853872"/>
    <w:rsid w:val="00855CA4"/>
    <w:rsid w:val="00863202"/>
    <w:rsid w:val="008642CC"/>
    <w:rsid w:val="00865055"/>
    <w:rsid w:val="00873C26"/>
    <w:rsid w:val="00874CF2"/>
    <w:rsid w:val="008824BE"/>
    <w:rsid w:val="00882CEA"/>
    <w:rsid w:val="008867C9"/>
    <w:rsid w:val="00886E27"/>
    <w:rsid w:val="00886E6D"/>
    <w:rsid w:val="00891B44"/>
    <w:rsid w:val="00895CA2"/>
    <w:rsid w:val="008A2AE9"/>
    <w:rsid w:val="008A7C6E"/>
    <w:rsid w:val="008B0B97"/>
    <w:rsid w:val="008B129B"/>
    <w:rsid w:val="008B1739"/>
    <w:rsid w:val="008B1970"/>
    <w:rsid w:val="008B2795"/>
    <w:rsid w:val="008B4BCD"/>
    <w:rsid w:val="008B4DC2"/>
    <w:rsid w:val="008B6AF1"/>
    <w:rsid w:val="008C36D7"/>
    <w:rsid w:val="008C4439"/>
    <w:rsid w:val="008D6238"/>
    <w:rsid w:val="008E05C2"/>
    <w:rsid w:val="008E0EAD"/>
    <w:rsid w:val="008E1704"/>
    <w:rsid w:val="008E2BC9"/>
    <w:rsid w:val="008E401E"/>
    <w:rsid w:val="008E5F66"/>
    <w:rsid w:val="008E5FF3"/>
    <w:rsid w:val="008F2CD0"/>
    <w:rsid w:val="008F3843"/>
    <w:rsid w:val="008F4CEF"/>
    <w:rsid w:val="008F625D"/>
    <w:rsid w:val="008F7448"/>
    <w:rsid w:val="008F7F87"/>
    <w:rsid w:val="00900F20"/>
    <w:rsid w:val="009025FB"/>
    <w:rsid w:val="0090460C"/>
    <w:rsid w:val="00906643"/>
    <w:rsid w:val="00907639"/>
    <w:rsid w:val="00907980"/>
    <w:rsid w:val="009103F5"/>
    <w:rsid w:val="009108CF"/>
    <w:rsid w:val="009118B8"/>
    <w:rsid w:val="00914083"/>
    <w:rsid w:val="00916A38"/>
    <w:rsid w:val="00917E18"/>
    <w:rsid w:val="0092009F"/>
    <w:rsid w:val="009210FC"/>
    <w:rsid w:val="0092268A"/>
    <w:rsid w:val="00923205"/>
    <w:rsid w:val="00926CD9"/>
    <w:rsid w:val="00931648"/>
    <w:rsid w:val="00933D27"/>
    <w:rsid w:val="00940088"/>
    <w:rsid w:val="009405E4"/>
    <w:rsid w:val="00942151"/>
    <w:rsid w:val="00943BC4"/>
    <w:rsid w:val="00944E3C"/>
    <w:rsid w:val="00950C38"/>
    <w:rsid w:val="00952D4E"/>
    <w:rsid w:val="009613A1"/>
    <w:rsid w:val="009619DA"/>
    <w:rsid w:val="0096222F"/>
    <w:rsid w:val="00962558"/>
    <w:rsid w:val="00964359"/>
    <w:rsid w:val="00964600"/>
    <w:rsid w:val="00966DF0"/>
    <w:rsid w:val="009728EE"/>
    <w:rsid w:val="00974C85"/>
    <w:rsid w:val="0098182A"/>
    <w:rsid w:val="00982480"/>
    <w:rsid w:val="00982B7E"/>
    <w:rsid w:val="00987D12"/>
    <w:rsid w:val="00995BF4"/>
    <w:rsid w:val="0099655E"/>
    <w:rsid w:val="009978F8"/>
    <w:rsid w:val="009A54B3"/>
    <w:rsid w:val="009B0752"/>
    <w:rsid w:val="009B75AF"/>
    <w:rsid w:val="009C0789"/>
    <w:rsid w:val="009C32D4"/>
    <w:rsid w:val="009C6A37"/>
    <w:rsid w:val="009D46A3"/>
    <w:rsid w:val="009D6F6B"/>
    <w:rsid w:val="009D778A"/>
    <w:rsid w:val="009E4814"/>
    <w:rsid w:val="009E5815"/>
    <w:rsid w:val="009E651B"/>
    <w:rsid w:val="009F4FA6"/>
    <w:rsid w:val="009F7539"/>
    <w:rsid w:val="00A010D7"/>
    <w:rsid w:val="00A017A3"/>
    <w:rsid w:val="00A02F6D"/>
    <w:rsid w:val="00A05F29"/>
    <w:rsid w:val="00A06B5E"/>
    <w:rsid w:val="00A17287"/>
    <w:rsid w:val="00A175D2"/>
    <w:rsid w:val="00A24A77"/>
    <w:rsid w:val="00A24D92"/>
    <w:rsid w:val="00A24EC2"/>
    <w:rsid w:val="00A2798F"/>
    <w:rsid w:val="00A334AE"/>
    <w:rsid w:val="00A42F67"/>
    <w:rsid w:val="00A45C47"/>
    <w:rsid w:val="00A46826"/>
    <w:rsid w:val="00A47F4E"/>
    <w:rsid w:val="00A5183F"/>
    <w:rsid w:val="00A534D5"/>
    <w:rsid w:val="00A538EA"/>
    <w:rsid w:val="00A575B3"/>
    <w:rsid w:val="00A659FD"/>
    <w:rsid w:val="00A65DE2"/>
    <w:rsid w:val="00A72589"/>
    <w:rsid w:val="00A778F3"/>
    <w:rsid w:val="00A77A55"/>
    <w:rsid w:val="00A810FE"/>
    <w:rsid w:val="00A82141"/>
    <w:rsid w:val="00A84A43"/>
    <w:rsid w:val="00A84AD0"/>
    <w:rsid w:val="00A850A6"/>
    <w:rsid w:val="00A929C0"/>
    <w:rsid w:val="00A93BF0"/>
    <w:rsid w:val="00A95CC0"/>
    <w:rsid w:val="00A95E3B"/>
    <w:rsid w:val="00A96677"/>
    <w:rsid w:val="00A96A41"/>
    <w:rsid w:val="00AA4554"/>
    <w:rsid w:val="00AA7CCE"/>
    <w:rsid w:val="00AB067E"/>
    <w:rsid w:val="00AB2DB4"/>
    <w:rsid w:val="00AB306F"/>
    <w:rsid w:val="00AB4551"/>
    <w:rsid w:val="00AB6521"/>
    <w:rsid w:val="00AB7036"/>
    <w:rsid w:val="00AC21A7"/>
    <w:rsid w:val="00AC365B"/>
    <w:rsid w:val="00AC751E"/>
    <w:rsid w:val="00AD0D25"/>
    <w:rsid w:val="00AD2419"/>
    <w:rsid w:val="00AD2F53"/>
    <w:rsid w:val="00AD339A"/>
    <w:rsid w:val="00AD45FD"/>
    <w:rsid w:val="00AF36B1"/>
    <w:rsid w:val="00AF36D9"/>
    <w:rsid w:val="00AF4DD1"/>
    <w:rsid w:val="00B01413"/>
    <w:rsid w:val="00B120CA"/>
    <w:rsid w:val="00B1213C"/>
    <w:rsid w:val="00B127E5"/>
    <w:rsid w:val="00B12CA4"/>
    <w:rsid w:val="00B20E5C"/>
    <w:rsid w:val="00B21B5E"/>
    <w:rsid w:val="00B31D60"/>
    <w:rsid w:val="00B36D7D"/>
    <w:rsid w:val="00B37665"/>
    <w:rsid w:val="00B4179B"/>
    <w:rsid w:val="00B427AB"/>
    <w:rsid w:val="00B449B7"/>
    <w:rsid w:val="00B4638B"/>
    <w:rsid w:val="00B47561"/>
    <w:rsid w:val="00B513B6"/>
    <w:rsid w:val="00B51C67"/>
    <w:rsid w:val="00B52692"/>
    <w:rsid w:val="00B609B1"/>
    <w:rsid w:val="00B67567"/>
    <w:rsid w:val="00B700A0"/>
    <w:rsid w:val="00B71F71"/>
    <w:rsid w:val="00B72C38"/>
    <w:rsid w:val="00B732BE"/>
    <w:rsid w:val="00B75789"/>
    <w:rsid w:val="00B75FA9"/>
    <w:rsid w:val="00B819B2"/>
    <w:rsid w:val="00B87839"/>
    <w:rsid w:val="00B90C91"/>
    <w:rsid w:val="00B92F30"/>
    <w:rsid w:val="00B93C6C"/>
    <w:rsid w:val="00BA21B5"/>
    <w:rsid w:val="00BA2562"/>
    <w:rsid w:val="00BA2DB9"/>
    <w:rsid w:val="00BA318D"/>
    <w:rsid w:val="00BA483A"/>
    <w:rsid w:val="00BB0345"/>
    <w:rsid w:val="00BB11C7"/>
    <w:rsid w:val="00BB25A3"/>
    <w:rsid w:val="00BB41A6"/>
    <w:rsid w:val="00BB434A"/>
    <w:rsid w:val="00BB519F"/>
    <w:rsid w:val="00BC05EB"/>
    <w:rsid w:val="00BC0D0E"/>
    <w:rsid w:val="00BC1B29"/>
    <w:rsid w:val="00BD0C7F"/>
    <w:rsid w:val="00BD12E7"/>
    <w:rsid w:val="00BD1774"/>
    <w:rsid w:val="00BD18B5"/>
    <w:rsid w:val="00BD511E"/>
    <w:rsid w:val="00BD6B88"/>
    <w:rsid w:val="00BD6DCC"/>
    <w:rsid w:val="00BE1219"/>
    <w:rsid w:val="00BE1590"/>
    <w:rsid w:val="00BE1648"/>
    <w:rsid w:val="00BE5D42"/>
    <w:rsid w:val="00BF19D1"/>
    <w:rsid w:val="00BF2BE5"/>
    <w:rsid w:val="00BF78C0"/>
    <w:rsid w:val="00BF7F62"/>
    <w:rsid w:val="00C04523"/>
    <w:rsid w:val="00C0475B"/>
    <w:rsid w:val="00C11EA8"/>
    <w:rsid w:val="00C15B74"/>
    <w:rsid w:val="00C241E5"/>
    <w:rsid w:val="00C24CA0"/>
    <w:rsid w:val="00C31F0F"/>
    <w:rsid w:val="00C33440"/>
    <w:rsid w:val="00C3577F"/>
    <w:rsid w:val="00C4306B"/>
    <w:rsid w:val="00C47B51"/>
    <w:rsid w:val="00C52DE7"/>
    <w:rsid w:val="00C541B3"/>
    <w:rsid w:val="00C56312"/>
    <w:rsid w:val="00C578D7"/>
    <w:rsid w:val="00C6022C"/>
    <w:rsid w:val="00C654E8"/>
    <w:rsid w:val="00C65517"/>
    <w:rsid w:val="00C65AB2"/>
    <w:rsid w:val="00C662E4"/>
    <w:rsid w:val="00C74C6F"/>
    <w:rsid w:val="00C74E83"/>
    <w:rsid w:val="00C74FA7"/>
    <w:rsid w:val="00C7567A"/>
    <w:rsid w:val="00C779DB"/>
    <w:rsid w:val="00C809BE"/>
    <w:rsid w:val="00C81ACD"/>
    <w:rsid w:val="00C824E9"/>
    <w:rsid w:val="00C83A93"/>
    <w:rsid w:val="00C874B2"/>
    <w:rsid w:val="00C92326"/>
    <w:rsid w:val="00C971AD"/>
    <w:rsid w:val="00C97C85"/>
    <w:rsid w:val="00CA0310"/>
    <w:rsid w:val="00CA1BF0"/>
    <w:rsid w:val="00CA3BE5"/>
    <w:rsid w:val="00CB1291"/>
    <w:rsid w:val="00CB286D"/>
    <w:rsid w:val="00CB4C47"/>
    <w:rsid w:val="00CC6F5A"/>
    <w:rsid w:val="00CC7146"/>
    <w:rsid w:val="00CC7440"/>
    <w:rsid w:val="00CD23DC"/>
    <w:rsid w:val="00CD31E2"/>
    <w:rsid w:val="00CE0031"/>
    <w:rsid w:val="00CE0B14"/>
    <w:rsid w:val="00CE19E9"/>
    <w:rsid w:val="00CE2B12"/>
    <w:rsid w:val="00CE3E76"/>
    <w:rsid w:val="00CE46EA"/>
    <w:rsid w:val="00CF0EB7"/>
    <w:rsid w:val="00CF32BE"/>
    <w:rsid w:val="00CF3DAE"/>
    <w:rsid w:val="00CF5DA2"/>
    <w:rsid w:val="00CF6360"/>
    <w:rsid w:val="00D073F5"/>
    <w:rsid w:val="00D07933"/>
    <w:rsid w:val="00D07CDB"/>
    <w:rsid w:val="00D11756"/>
    <w:rsid w:val="00D131C7"/>
    <w:rsid w:val="00D14EFD"/>
    <w:rsid w:val="00D16073"/>
    <w:rsid w:val="00D16083"/>
    <w:rsid w:val="00D21E04"/>
    <w:rsid w:val="00D2616F"/>
    <w:rsid w:val="00D32670"/>
    <w:rsid w:val="00D33AC0"/>
    <w:rsid w:val="00D402F7"/>
    <w:rsid w:val="00D40609"/>
    <w:rsid w:val="00D435B7"/>
    <w:rsid w:val="00D43665"/>
    <w:rsid w:val="00D46F45"/>
    <w:rsid w:val="00D536B3"/>
    <w:rsid w:val="00D54544"/>
    <w:rsid w:val="00D611E3"/>
    <w:rsid w:val="00D61C6F"/>
    <w:rsid w:val="00D71EFA"/>
    <w:rsid w:val="00D7402E"/>
    <w:rsid w:val="00D7506A"/>
    <w:rsid w:val="00D7615F"/>
    <w:rsid w:val="00D81F3E"/>
    <w:rsid w:val="00D83FF3"/>
    <w:rsid w:val="00D85E55"/>
    <w:rsid w:val="00D85EA0"/>
    <w:rsid w:val="00D85EEC"/>
    <w:rsid w:val="00D86570"/>
    <w:rsid w:val="00D87935"/>
    <w:rsid w:val="00D92A03"/>
    <w:rsid w:val="00D94C71"/>
    <w:rsid w:val="00D97E32"/>
    <w:rsid w:val="00DA50DF"/>
    <w:rsid w:val="00DA615D"/>
    <w:rsid w:val="00DA65EB"/>
    <w:rsid w:val="00DA78AE"/>
    <w:rsid w:val="00DB0BCB"/>
    <w:rsid w:val="00DB416E"/>
    <w:rsid w:val="00DB4A48"/>
    <w:rsid w:val="00DC2B59"/>
    <w:rsid w:val="00DD19FA"/>
    <w:rsid w:val="00DD3357"/>
    <w:rsid w:val="00DD7919"/>
    <w:rsid w:val="00DD7BE6"/>
    <w:rsid w:val="00DE0818"/>
    <w:rsid w:val="00DE280F"/>
    <w:rsid w:val="00DE3788"/>
    <w:rsid w:val="00DE7986"/>
    <w:rsid w:val="00DE7C85"/>
    <w:rsid w:val="00DF278E"/>
    <w:rsid w:val="00DF291C"/>
    <w:rsid w:val="00DF38C8"/>
    <w:rsid w:val="00DF467E"/>
    <w:rsid w:val="00E00494"/>
    <w:rsid w:val="00E02936"/>
    <w:rsid w:val="00E11F65"/>
    <w:rsid w:val="00E200E1"/>
    <w:rsid w:val="00E225CA"/>
    <w:rsid w:val="00E2284A"/>
    <w:rsid w:val="00E22C9C"/>
    <w:rsid w:val="00E24325"/>
    <w:rsid w:val="00E26F39"/>
    <w:rsid w:val="00E32F31"/>
    <w:rsid w:val="00E341F5"/>
    <w:rsid w:val="00E35044"/>
    <w:rsid w:val="00E363B5"/>
    <w:rsid w:val="00E3775C"/>
    <w:rsid w:val="00E40115"/>
    <w:rsid w:val="00E41934"/>
    <w:rsid w:val="00E43EC2"/>
    <w:rsid w:val="00E44458"/>
    <w:rsid w:val="00E51C91"/>
    <w:rsid w:val="00E531E9"/>
    <w:rsid w:val="00E54258"/>
    <w:rsid w:val="00E55AF9"/>
    <w:rsid w:val="00E574E4"/>
    <w:rsid w:val="00E61C6E"/>
    <w:rsid w:val="00E63901"/>
    <w:rsid w:val="00E72B79"/>
    <w:rsid w:val="00E741FF"/>
    <w:rsid w:val="00E76F5C"/>
    <w:rsid w:val="00E827AB"/>
    <w:rsid w:val="00E86360"/>
    <w:rsid w:val="00E873EB"/>
    <w:rsid w:val="00E876CF"/>
    <w:rsid w:val="00E93B3E"/>
    <w:rsid w:val="00E97254"/>
    <w:rsid w:val="00E97A4F"/>
    <w:rsid w:val="00EA1F8E"/>
    <w:rsid w:val="00EA49E8"/>
    <w:rsid w:val="00EA5EBD"/>
    <w:rsid w:val="00EA65B7"/>
    <w:rsid w:val="00EB27DD"/>
    <w:rsid w:val="00EB4646"/>
    <w:rsid w:val="00EB5A35"/>
    <w:rsid w:val="00EC1BCA"/>
    <w:rsid w:val="00EC418E"/>
    <w:rsid w:val="00EC73F2"/>
    <w:rsid w:val="00ED2807"/>
    <w:rsid w:val="00ED717C"/>
    <w:rsid w:val="00EE0386"/>
    <w:rsid w:val="00EF0AD8"/>
    <w:rsid w:val="00EF1838"/>
    <w:rsid w:val="00EF2076"/>
    <w:rsid w:val="00EF38AC"/>
    <w:rsid w:val="00F04AC7"/>
    <w:rsid w:val="00F0557D"/>
    <w:rsid w:val="00F12306"/>
    <w:rsid w:val="00F16E2C"/>
    <w:rsid w:val="00F16E3A"/>
    <w:rsid w:val="00F170AC"/>
    <w:rsid w:val="00F26D00"/>
    <w:rsid w:val="00F323D5"/>
    <w:rsid w:val="00F333AE"/>
    <w:rsid w:val="00F405C7"/>
    <w:rsid w:val="00F446BE"/>
    <w:rsid w:val="00F44759"/>
    <w:rsid w:val="00F44BFC"/>
    <w:rsid w:val="00F44D9F"/>
    <w:rsid w:val="00F455C8"/>
    <w:rsid w:val="00F45A00"/>
    <w:rsid w:val="00F50703"/>
    <w:rsid w:val="00F51138"/>
    <w:rsid w:val="00F51D6E"/>
    <w:rsid w:val="00F555A7"/>
    <w:rsid w:val="00F5629C"/>
    <w:rsid w:val="00F57413"/>
    <w:rsid w:val="00F60968"/>
    <w:rsid w:val="00F66FEB"/>
    <w:rsid w:val="00F71AB4"/>
    <w:rsid w:val="00F726EF"/>
    <w:rsid w:val="00F74224"/>
    <w:rsid w:val="00F8230A"/>
    <w:rsid w:val="00F838AB"/>
    <w:rsid w:val="00F92056"/>
    <w:rsid w:val="00F93222"/>
    <w:rsid w:val="00F93D64"/>
    <w:rsid w:val="00F952DD"/>
    <w:rsid w:val="00F96713"/>
    <w:rsid w:val="00FA1A5C"/>
    <w:rsid w:val="00FA25FD"/>
    <w:rsid w:val="00FA3A3A"/>
    <w:rsid w:val="00FB1812"/>
    <w:rsid w:val="00FB1E95"/>
    <w:rsid w:val="00FB22AD"/>
    <w:rsid w:val="00FB3595"/>
    <w:rsid w:val="00FB4B92"/>
    <w:rsid w:val="00FB58E4"/>
    <w:rsid w:val="00FB72CA"/>
    <w:rsid w:val="00FC513A"/>
    <w:rsid w:val="00FC7B96"/>
    <w:rsid w:val="00FD0F25"/>
    <w:rsid w:val="00FD2206"/>
    <w:rsid w:val="00FD3462"/>
    <w:rsid w:val="00FD4932"/>
    <w:rsid w:val="00FE2042"/>
    <w:rsid w:val="00FE20C9"/>
    <w:rsid w:val="00FE30D6"/>
    <w:rsid w:val="00FE6574"/>
    <w:rsid w:val="00FF0D09"/>
    <w:rsid w:val="00FF3988"/>
    <w:rsid w:val="00FF3DD5"/>
    <w:rsid w:val="00FF4AE5"/>
    <w:rsid w:val="00FF5125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45B3177"/>
  <w15:docId w15:val="{9852D784-117D-4D8C-B316-903B774C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,Akapit z listą BS,H&amp;P List Paragraph,Strip"/>
    <w:basedOn w:val="Parasts"/>
    <w:link w:val="SarakstarindkopaRakstz"/>
    <w:uiPriority w:val="34"/>
    <w:qFormat/>
    <w:rsid w:val="003B70FB"/>
    <w:pPr>
      <w:ind w:left="720"/>
      <w:contextualSpacing/>
    </w:pPr>
    <w:rPr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B70F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3B70FB"/>
    <w:pPr>
      <w:spacing w:line="240" w:lineRule="auto"/>
    </w:pPr>
    <w:rPr>
      <w:sz w:val="20"/>
      <w:szCs w:val="20"/>
      <w:lang w:val="lv-LV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3B70FB"/>
    <w:rPr>
      <w:sz w:val="20"/>
      <w:szCs w:val="20"/>
      <w:lang w:val="lv-LV"/>
    </w:rPr>
  </w:style>
  <w:style w:type="paragraph" w:customStyle="1" w:styleId="tv213">
    <w:name w:val="tv213"/>
    <w:basedOn w:val="Parasts"/>
    <w:rsid w:val="003B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Vresteksts">
    <w:name w:val="footnote text"/>
    <w:basedOn w:val="Parasts"/>
    <w:link w:val="VrestekstsRakstz"/>
    <w:semiHidden/>
    <w:unhideWhenUsed/>
    <w:rsid w:val="003B70FB"/>
    <w:pPr>
      <w:spacing w:after="200" w:line="276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VrestekstsRakstz">
    <w:name w:val="Vēres teksts Rakstz."/>
    <w:basedOn w:val="Noklusjumarindkopasfonts"/>
    <w:link w:val="Vresteksts"/>
    <w:semiHidden/>
    <w:rsid w:val="003B70FB"/>
    <w:rPr>
      <w:rFonts w:ascii="Calibri" w:eastAsia="Calibri" w:hAnsi="Calibri" w:cs="Times New Roman"/>
      <w:sz w:val="20"/>
      <w:szCs w:val="20"/>
      <w:lang w:val="ru-RU"/>
    </w:rPr>
  </w:style>
  <w:style w:type="character" w:customStyle="1" w:styleId="FontStyle18">
    <w:name w:val="Font Style18"/>
    <w:basedOn w:val="Noklusjumarindkopasfonts"/>
    <w:uiPriority w:val="99"/>
    <w:rsid w:val="003B70FB"/>
    <w:rPr>
      <w:rFonts w:ascii="Times New Roman" w:hAnsi="Times New Roman" w:cs="Times New Roman" w:hint="defaul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B7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B70FB"/>
    <w:rPr>
      <w:rFonts w:ascii="Segoe UI" w:hAnsi="Segoe UI" w:cs="Segoe UI"/>
      <w:sz w:val="18"/>
      <w:szCs w:val="18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F2B89"/>
    <w:rPr>
      <w:b/>
      <w:bCs/>
      <w:lang w:val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F2B89"/>
    <w:rPr>
      <w:b/>
      <w:bCs/>
      <w:sz w:val="20"/>
      <w:szCs w:val="20"/>
      <w:lang w:val="lv-LV"/>
    </w:rPr>
  </w:style>
  <w:style w:type="table" w:styleId="Reatabula">
    <w:name w:val="Table Grid"/>
    <w:basedOn w:val="Parastatabula"/>
    <w:uiPriority w:val="39"/>
    <w:rsid w:val="00E8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710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71058"/>
  </w:style>
  <w:style w:type="paragraph" w:styleId="Kjene">
    <w:name w:val="footer"/>
    <w:basedOn w:val="Parasts"/>
    <w:link w:val="KjeneRakstz"/>
    <w:uiPriority w:val="99"/>
    <w:unhideWhenUsed/>
    <w:rsid w:val="001710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71058"/>
  </w:style>
  <w:style w:type="character" w:styleId="Hipersaite">
    <w:name w:val="Hyperlink"/>
    <w:basedOn w:val="Noklusjumarindkopasfonts"/>
    <w:uiPriority w:val="99"/>
    <w:unhideWhenUsed/>
    <w:rsid w:val="00E61C6E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E61C6E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5E20DC"/>
    <w:pPr>
      <w:spacing w:after="0" w:line="240" w:lineRule="auto"/>
    </w:pPr>
  </w:style>
  <w:style w:type="paragraph" w:styleId="Paraststmeklis">
    <w:name w:val="Normal (Web)"/>
    <w:basedOn w:val="Parasts"/>
    <w:uiPriority w:val="99"/>
    <w:semiHidden/>
    <w:unhideWhenUsed/>
    <w:rsid w:val="00C7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6B6254"/>
    <w:rPr>
      <w:color w:val="605E5C"/>
      <w:shd w:val="clear" w:color="auto" w:fill="E1DFDD"/>
    </w:rPr>
  </w:style>
  <w:style w:type="paragraph" w:styleId="Bezatstarpm">
    <w:name w:val="No Spacing"/>
    <w:uiPriority w:val="1"/>
    <w:qFormat/>
    <w:rsid w:val="00C74C6F"/>
    <w:pPr>
      <w:spacing w:after="0" w:line="240" w:lineRule="auto"/>
    </w:pPr>
    <w:rPr>
      <w:rFonts w:ascii="Calibri" w:eastAsia="Calibri" w:hAnsi="Calibri" w:cs="Times New Roman"/>
      <w:lang w:val="lv-LV"/>
    </w:rPr>
  </w:style>
  <w:style w:type="character" w:customStyle="1" w:styleId="SarakstarindkopaRakstz">
    <w:name w:val="Saraksta rindkopa Rakstz."/>
    <w:aliases w:val="2 Rakstz.,Akapit z listą BS Rakstz.,H&amp;P List Paragraph Rakstz.,Strip Rakstz."/>
    <w:link w:val="Sarakstarindkopa"/>
    <w:uiPriority w:val="34"/>
    <w:locked/>
    <w:rsid w:val="00DA65EB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188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96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6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39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209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152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46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4976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8387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5263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590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753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55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BBC05ADE3DA4AAF268B519A054244" ma:contentTypeVersion="14" ma:contentTypeDescription="Create a new document." ma:contentTypeScope="" ma:versionID="3caef8d49b551bf144fe58b7e99019b8">
  <xsd:schema xmlns:xsd="http://www.w3.org/2001/XMLSchema" xmlns:xs="http://www.w3.org/2001/XMLSchema" xmlns:p="http://schemas.microsoft.com/office/2006/metadata/properties" xmlns:ns3="49a59d87-df18-4b16-989b-27a6baedb310" xmlns:ns4="0d9e7aa0-fb04-4cc2-b081-906e51d1fa9f" targetNamespace="http://schemas.microsoft.com/office/2006/metadata/properties" ma:root="true" ma:fieldsID="c99d5c3111e96145833a9298950e73de" ns3:_="" ns4:_="">
    <xsd:import namespace="49a59d87-df18-4b16-989b-27a6baedb310"/>
    <xsd:import namespace="0d9e7aa0-fb04-4cc2-b081-906e51d1f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59d87-df18-4b16-989b-27a6baedb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e7aa0-fb04-4cc2-b081-906e51d1f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23621B-CD9E-427B-B5F5-BE60661E13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5D8F47-8FF6-41BD-8A90-4959951290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9C6A18-AB8B-4C26-B738-95A4FD35F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59d87-df18-4b16-989b-27a6baedb310"/>
    <ds:schemaRef ds:uri="0d9e7aa0-fb04-4cc2-b081-906e51d1f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23FF6D-E820-47CB-9C64-26C0DEEB07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15754</Words>
  <Characters>8980</Characters>
  <Application>Microsoft Office Word</Application>
  <DocSecurity>0</DocSecurity>
  <Lines>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Org</Company>
  <LinksUpToDate>false</LinksUpToDate>
  <CharactersWithSpaces>24685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Ingrida Kalvina</cp:lastModifiedBy>
  <cp:revision>6</cp:revision>
  <dcterms:created xsi:type="dcterms:W3CDTF">2021-11-16T05:57:00Z</dcterms:created>
  <dcterms:modified xsi:type="dcterms:W3CDTF">2021-11-16T06:55:00Z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0x0101003CCBBC05ADE3DA4AAF268B519A054244</vt:lpwstr>
  </property>
</Properties>
</file>