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8135" w14:textId="77777777" w:rsidR="006E47A6" w:rsidRDefault="006E7011">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Konkursa nolikums par mācībspēku atlasi projekta</w:t>
      </w:r>
    </w:p>
    <w:p w14:paraId="313DAC11" w14:textId="77777777" w:rsidR="006E47A6" w:rsidRDefault="006E701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Nr. 2.3.1.1.i.0/1/22/I/CFLA/003 “Augsta līmeņa digitālo prasmju apguve Latvijā augstas veiktspējas skaitļošanas tehnoloģiju jomā” </w:t>
      </w:r>
      <w:r>
        <w:rPr>
          <w:rFonts w:ascii="Times New Roman" w:eastAsia="Times New Roman" w:hAnsi="Times New Roman" w:cs="Times New Roman"/>
          <w:b/>
          <w:sz w:val="24"/>
          <w:szCs w:val="24"/>
        </w:rPr>
        <w:t>vajadzībām</w:t>
      </w:r>
    </w:p>
    <w:p w14:paraId="25FECB8A" w14:textId="7A9A39B9" w:rsidR="006E47A6" w:rsidRDefault="007C5AF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D32BEC" w14:textId="77777777" w:rsidR="006E47A6" w:rsidRDefault="006E7011">
      <w:pPr>
        <w:numPr>
          <w:ilvl w:val="0"/>
          <w:numId w:val="2"/>
        </w:numPr>
        <w:pBdr>
          <w:top w:val="nil"/>
          <w:left w:val="nil"/>
          <w:bottom w:val="nil"/>
          <w:right w:val="nil"/>
          <w:between w:val="nil"/>
        </w:pBdr>
        <w:spacing w:after="0"/>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5248DED1" w14:textId="77777777"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Nolikums nosaka kārtību, kādā </w:t>
      </w:r>
      <w:r>
        <w:rPr>
          <w:rFonts w:ascii="Times New Roman" w:eastAsia="Times New Roman" w:hAnsi="Times New Roman" w:cs="Times New Roman"/>
          <w:b/>
          <w:color w:val="000000"/>
          <w:sz w:val="24"/>
          <w:szCs w:val="24"/>
        </w:rPr>
        <w:t>Rīgas Tehniskajā universitātē (turpmāk tekstā – RTU)</w:t>
      </w:r>
      <w:r>
        <w:rPr>
          <w:rFonts w:ascii="Times New Roman" w:eastAsia="Times New Roman" w:hAnsi="Times New Roman" w:cs="Times New Roman"/>
          <w:color w:val="000000"/>
          <w:sz w:val="24"/>
          <w:szCs w:val="24"/>
        </w:rPr>
        <w:t xml:space="preserve"> tiek organizēts konkurss </w:t>
      </w:r>
      <w:r>
        <w:rPr>
          <w:rFonts w:ascii="Times New Roman" w:eastAsia="Times New Roman" w:hAnsi="Times New Roman" w:cs="Times New Roman"/>
          <w:b/>
          <w:color w:val="000000"/>
          <w:sz w:val="24"/>
          <w:szCs w:val="24"/>
        </w:rPr>
        <w:t>RTU mācībspēku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(turpmāk tekstā  – Mācībspēki)</w:t>
      </w:r>
      <w:r>
        <w:rPr>
          <w:rFonts w:ascii="Times New Roman" w:eastAsia="Times New Roman" w:hAnsi="Times New Roman" w:cs="Times New Roman"/>
          <w:color w:val="000000"/>
          <w:sz w:val="24"/>
          <w:szCs w:val="24"/>
        </w:rPr>
        <w:t xml:space="preserve"> atlasei studiju moduļu izstrādei projektā Nr. 2.3.1.1.i.0/1/22/I/C</w:t>
      </w:r>
      <w:r>
        <w:rPr>
          <w:rFonts w:ascii="Times New Roman" w:eastAsia="Times New Roman" w:hAnsi="Times New Roman" w:cs="Times New Roman"/>
          <w:color w:val="000000"/>
          <w:sz w:val="24"/>
          <w:szCs w:val="24"/>
        </w:rPr>
        <w:t xml:space="preserve">FLA/003 “Augsta līmeņa digitālo prasmju apguve Latvijā augstas veiktspējas skaitļošanas tehnoloģiju jomā” </w:t>
      </w:r>
      <w:r>
        <w:rPr>
          <w:rFonts w:ascii="Times New Roman" w:eastAsia="Times New Roman" w:hAnsi="Times New Roman" w:cs="Times New Roman"/>
          <w:b/>
          <w:color w:val="000000"/>
          <w:sz w:val="24"/>
          <w:szCs w:val="24"/>
        </w:rPr>
        <w:t>(turpmāk tekstā  – Projekts)</w:t>
      </w:r>
      <w:r>
        <w:rPr>
          <w:rFonts w:ascii="Times New Roman" w:eastAsia="Times New Roman" w:hAnsi="Times New Roman" w:cs="Times New Roman"/>
          <w:color w:val="000000"/>
          <w:sz w:val="24"/>
          <w:szCs w:val="24"/>
        </w:rPr>
        <w:t>.</w:t>
      </w:r>
    </w:p>
    <w:p w14:paraId="5098C8D9" w14:textId="77777777" w:rsidR="006E47A6" w:rsidRDefault="006E7011">
      <w:pPr>
        <w:numPr>
          <w:ilvl w:val="1"/>
          <w:numId w:val="2"/>
        </w:numPr>
        <w:pBdr>
          <w:top w:val="nil"/>
          <w:left w:val="nil"/>
          <w:bottom w:val="nil"/>
          <w:right w:val="nil"/>
          <w:between w:val="nil"/>
        </w:pBdr>
        <w:spacing w:after="0"/>
        <w:ind w:left="425"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Projekts tiek balstīts uz 2022. gada 14. jūlija Ministru kabineta noteikumiem Nr. 453 “Eiropas Savienības Atveseļošanas un noturības mehānisma plāna 2. komponentes “Digitālā transformācija” 2.3. reformu un investīciju virziena “Digitālās prasmes” 2.3.1.r. </w:t>
      </w:r>
      <w:r>
        <w:rPr>
          <w:rFonts w:ascii="Times New Roman" w:eastAsia="Times New Roman" w:hAnsi="Times New Roman" w:cs="Times New Roman"/>
          <w:color w:val="000000"/>
          <w:sz w:val="24"/>
          <w:szCs w:val="24"/>
        </w:rPr>
        <w:t>reformas “Ilgtspējīgas un sociāli atbildīgas atbalsta sistēmas pieaugušo izglītībai attīstība” 2.3.1.1.i. investīcijas “Augsta līmeņa digitālo prasmju apguves nodrošināšana” īstenošanas noteikumi”</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14:paraId="105E0D45" w14:textId="77777777"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Projekta pamatmērķi ir: 1) palielināt speciālistu skaitu </w:t>
      </w:r>
      <w:r>
        <w:rPr>
          <w:rFonts w:ascii="Times New Roman" w:eastAsia="Times New Roman" w:hAnsi="Times New Roman" w:cs="Times New Roman"/>
          <w:color w:val="000000"/>
          <w:sz w:val="24"/>
          <w:szCs w:val="24"/>
        </w:rPr>
        <w:t>Latvijā ar augsta līmeņa digitālajām prasmēm (</w:t>
      </w:r>
      <w:proofErr w:type="spellStart"/>
      <w:r>
        <w:rPr>
          <w:rFonts w:ascii="Times New Roman" w:eastAsia="Times New Roman" w:hAnsi="Times New Roman" w:cs="Times New Roman"/>
          <w:color w:val="000000"/>
          <w:sz w:val="24"/>
          <w:szCs w:val="24"/>
        </w:rPr>
        <w:t>DigComp</w:t>
      </w:r>
      <w:proofErr w:type="spellEnd"/>
      <w:r>
        <w:rPr>
          <w:rFonts w:ascii="Times New Roman" w:eastAsia="Times New Roman" w:hAnsi="Times New Roman" w:cs="Times New Roman"/>
          <w:color w:val="000000"/>
          <w:sz w:val="24"/>
          <w:szCs w:val="24"/>
        </w:rPr>
        <w:t xml:space="preserve"> 7.–8. līmenis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kas spēj lietot augstās tehnoloģijas, lai attīstītu zināšanu un tehnoloģiju ietilpīgus jaunus produktus un pakalpojumus dažādās nozarēs; 2) radīt augstākās izglītības, zinātnes un indus</w:t>
      </w:r>
      <w:r>
        <w:rPr>
          <w:rFonts w:ascii="Times New Roman" w:eastAsia="Times New Roman" w:hAnsi="Times New Roman" w:cs="Times New Roman"/>
          <w:color w:val="000000"/>
          <w:sz w:val="24"/>
          <w:szCs w:val="24"/>
        </w:rPr>
        <w:t>trijas sinerģiju, kas veicina inovācijas ar maksimālu komercializācijas un eksporta potenciālu.</w:t>
      </w:r>
    </w:p>
    <w:p w14:paraId="032FBAC8" w14:textId="3CA92248" w:rsidR="006E47A6" w:rsidRPr="00432582"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Konkursa mērķis ir atlasīt RTU Mācībspēkus, kuri izstrādās studiju moduļus</w:t>
      </w:r>
      <w:r w:rsidR="00D84A14" w:rsidRPr="00432582">
        <w:rPr>
          <w:rFonts w:ascii="Times New Roman" w:eastAsia="Times New Roman" w:hAnsi="Times New Roman" w:cs="Times New Roman"/>
          <w:color w:val="000000"/>
          <w:sz w:val="24"/>
          <w:szCs w:val="24"/>
        </w:rPr>
        <w:t xml:space="preserve"> un tajos paredzētos studiju kursus</w:t>
      </w:r>
      <w:r w:rsidRPr="00432582">
        <w:rPr>
          <w:rFonts w:ascii="Times New Roman" w:eastAsia="Times New Roman" w:hAnsi="Times New Roman" w:cs="Times New Roman"/>
          <w:color w:val="000000"/>
          <w:sz w:val="24"/>
          <w:szCs w:val="24"/>
        </w:rPr>
        <w:t xml:space="preserve"> un integrēs to saturu Projektā atlasītajās studiju programmās, kā arī nodrošinās studiju moduļu </w:t>
      </w:r>
      <w:r w:rsidR="00D84A14" w:rsidRPr="00432582">
        <w:rPr>
          <w:rFonts w:ascii="Times New Roman" w:eastAsia="Times New Roman" w:hAnsi="Times New Roman" w:cs="Times New Roman"/>
          <w:color w:val="000000"/>
          <w:sz w:val="24"/>
          <w:szCs w:val="24"/>
        </w:rPr>
        <w:t xml:space="preserve">un </w:t>
      </w:r>
      <w:r w:rsidR="001928EB" w:rsidRPr="00432582">
        <w:rPr>
          <w:rFonts w:ascii="Times New Roman" w:eastAsia="Times New Roman" w:hAnsi="Times New Roman" w:cs="Times New Roman"/>
          <w:color w:val="000000"/>
          <w:sz w:val="24"/>
          <w:szCs w:val="24"/>
        </w:rPr>
        <w:t xml:space="preserve">studiju </w:t>
      </w:r>
      <w:r w:rsidR="00D84A14" w:rsidRPr="00432582">
        <w:rPr>
          <w:rFonts w:ascii="Times New Roman" w:eastAsia="Times New Roman" w:hAnsi="Times New Roman" w:cs="Times New Roman"/>
          <w:color w:val="000000"/>
          <w:sz w:val="24"/>
          <w:szCs w:val="24"/>
        </w:rPr>
        <w:t xml:space="preserve">kursu </w:t>
      </w:r>
      <w:r w:rsidRPr="00432582">
        <w:rPr>
          <w:rFonts w:ascii="Times New Roman" w:eastAsia="Times New Roman" w:hAnsi="Times New Roman" w:cs="Times New Roman"/>
          <w:color w:val="000000"/>
          <w:sz w:val="24"/>
          <w:szCs w:val="24"/>
        </w:rPr>
        <w:t xml:space="preserve">aprobāciju un pilnveidošanu visā Projekta laikā. </w:t>
      </w:r>
    </w:p>
    <w:p w14:paraId="591D2C4C" w14:textId="53972B27" w:rsidR="006E47A6" w:rsidRPr="00432582"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Nolikuma kontekstā studiju modulis ir konkrētajai tematiskajai jomai atbilstošo studiju kurs</w:t>
      </w:r>
      <w:r w:rsidRPr="00432582">
        <w:rPr>
          <w:rFonts w:ascii="Times New Roman" w:eastAsia="Times New Roman" w:hAnsi="Times New Roman" w:cs="Times New Roman"/>
          <w:color w:val="000000"/>
          <w:sz w:val="24"/>
          <w:szCs w:val="24"/>
        </w:rPr>
        <w:t>u apvienojums vismaz 6KP apjomā. Studiju moduli var veidot 2-3 studiju kursi ar mazāku kredītpunktu apjomu (2-3 KP), kuri ir realizēti, izmantojot kombinēto studiju (</w:t>
      </w:r>
      <w:proofErr w:type="spellStart"/>
      <w:r w:rsidRPr="00432582">
        <w:rPr>
          <w:rFonts w:ascii="Times New Roman" w:eastAsia="Times New Roman" w:hAnsi="Times New Roman" w:cs="Times New Roman"/>
          <w:i/>
          <w:color w:val="000000"/>
          <w:sz w:val="24"/>
          <w:szCs w:val="24"/>
        </w:rPr>
        <w:t>blended</w:t>
      </w:r>
      <w:proofErr w:type="spellEnd"/>
      <w:r w:rsidRPr="00432582">
        <w:rPr>
          <w:rFonts w:ascii="Times New Roman" w:eastAsia="Times New Roman" w:hAnsi="Times New Roman" w:cs="Times New Roman"/>
          <w:i/>
          <w:color w:val="000000"/>
          <w:sz w:val="24"/>
          <w:szCs w:val="24"/>
        </w:rPr>
        <w:t xml:space="preserve"> </w:t>
      </w:r>
      <w:proofErr w:type="spellStart"/>
      <w:r w:rsidRPr="00432582">
        <w:rPr>
          <w:rFonts w:ascii="Times New Roman" w:eastAsia="Times New Roman" w:hAnsi="Times New Roman" w:cs="Times New Roman"/>
          <w:i/>
          <w:color w:val="000000"/>
          <w:sz w:val="24"/>
          <w:szCs w:val="24"/>
        </w:rPr>
        <w:t>learning</w:t>
      </w:r>
      <w:proofErr w:type="spellEnd"/>
      <w:r w:rsidRPr="00432582">
        <w:rPr>
          <w:rFonts w:ascii="Times New Roman" w:eastAsia="Times New Roman" w:hAnsi="Times New Roman" w:cs="Times New Roman"/>
          <w:color w:val="000000"/>
          <w:sz w:val="24"/>
          <w:szCs w:val="24"/>
        </w:rPr>
        <w:t xml:space="preserve">) metodiku. </w:t>
      </w:r>
      <w:r w:rsidR="00D84A14" w:rsidRPr="00432582">
        <w:rPr>
          <w:rFonts w:ascii="Times New Roman" w:eastAsia="Times New Roman" w:hAnsi="Times New Roman" w:cs="Times New Roman"/>
          <w:color w:val="000000"/>
          <w:sz w:val="24"/>
          <w:szCs w:val="24"/>
        </w:rPr>
        <w:t xml:space="preserve">Studiju kursos ir jāparedz </w:t>
      </w:r>
      <w:r w:rsidR="00CE44F8" w:rsidRPr="00432582">
        <w:rPr>
          <w:rFonts w:ascii="Times New Roman" w:eastAsia="Times New Roman" w:hAnsi="Times New Roman" w:cs="Times New Roman"/>
          <w:color w:val="000000"/>
          <w:sz w:val="24"/>
          <w:szCs w:val="24"/>
        </w:rPr>
        <w:t>nozar</w:t>
      </w:r>
      <w:r w:rsidR="00D84A14" w:rsidRPr="00432582">
        <w:rPr>
          <w:rFonts w:ascii="Times New Roman" w:eastAsia="Times New Roman" w:hAnsi="Times New Roman" w:cs="Times New Roman"/>
          <w:color w:val="000000"/>
          <w:sz w:val="24"/>
          <w:szCs w:val="24"/>
        </w:rPr>
        <w:t>ei aktuālo digitālo rīku ieviešana un iespēju robežās arī augst</w:t>
      </w:r>
      <w:r w:rsidR="00CE44F8" w:rsidRPr="00432582">
        <w:rPr>
          <w:rFonts w:ascii="Times New Roman" w:eastAsia="Times New Roman" w:hAnsi="Times New Roman" w:cs="Times New Roman"/>
          <w:color w:val="000000"/>
          <w:sz w:val="24"/>
          <w:szCs w:val="24"/>
        </w:rPr>
        <w:t>a</w:t>
      </w:r>
      <w:r w:rsidR="00D84A14" w:rsidRPr="00432582">
        <w:rPr>
          <w:rFonts w:ascii="Times New Roman" w:eastAsia="Times New Roman" w:hAnsi="Times New Roman" w:cs="Times New Roman"/>
          <w:color w:val="000000"/>
          <w:sz w:val="24"/>
          <w:szCs w:val="24"/>
        </w:rPr>
        <w:t xml:space="preserve">s veiktspējas skaitļošanas platformas izmantošana. </w:t>
      </w:r>
      <w:r w:rsidRPr="00432582">
        <w:rPr>
          <w:rFonts w:ascii="Times New Roman" w:eastAsia="Times New Roman" w:hAnsi="Times New Roman" w:cs="Times New Roman"/>
          <w:color w:val="000000"/>
          <w:sz w:val="24"/>
          <w:szCs w:val="24"/>
        </w:rPr>
        <w:t>Projektā ir paredzēts izstrādāt</w:t>
      </w:r>
      <w:r w:rsidR="001928EB" w:rsidRPr="00432582">
        <w:rPr>
          <w:rFonts w:ascii="Times New Roman" w:eastAsia="Times New Roman" w:hAnsi="Times New Roman" w:cs="Times New Roman"/>
          <w:color w:val="000000"/>
          <w:sz w:val="24"/>
          <w:szCs w:val="24"/>
        </w:rPr>
        <w:t xml:space="preserve"> vai pilnveidot</w:t>
      </w:r>
      <w:r w:rsidRPr="00432582">
        <w:rPr>
          <w:rFonts w:ascii="Times New Roman" w:eastAsia="Times New Roman" w:hAnsi="Times New Roman" w:cs="Times New Roman"/>
          <w:color w:val="000000"/>
          <w:sz w:val="24"/>
          <w:szCs w:val="24"/>
        </w:rPr>
        <w:t xml:space="preserve"> studiju </w:t>
      </w:r>
      <w:r w:rsidR="001928EB" w:rsidRPr="00432582">
        <w:rPr>
          <w:rFonts w:ascii="Times New Roman" w:eastAsia="Times New Roman" w:hAnsi="Times New Roman" w:cs="Times New Roman"/>
          <w:color w:val="000000"/>
          <w:sz w:val="24"/>
          <w:szCs w:val="24"/>
        </w:rPr>
        <w:t xml:space="preserve">kursus </w:t>
      </w:r>
      <w:r w:rsidRPr="00432582">
        <w:rPr>
          <w:rFonts w:ascii="Times New Roman" w:eastAsia="Times New Roman" w:hAnsi="Times New Roman" w:cs="Times New Roman"/>
          <w:color w:val="000000"/>
          <w:sz w:val="24"/>
          <w:szCs w:val="24"/>
        </w:rPr>
        <w:t xml:space="preserve">šādās </w:t>
      </w:r>
      <w:r w:rsidR="001928EB" w:rsidRPr="00432582">
        <w:rPr>
          <w:rFonts w:ascii="Times New Roman" w:eastAsia="Times New Roman" w:hAnsi="Times New Roman" w:cs="Times New Roman"/>
          <w:color w:val="000000"/>
          <w:sz w:val="24"/>
          <w:szCs w:val="24"/>
        </w:rPr>
        <w:t xml:space="preserve">studiju moduļu </w:t>
      </w:r>
      <w:r w:rsidRPr="00432582">
        <w:rPr>
          <w:rFonts w:ascii="Times New Roman" w:eastAsia="Times New Roman" w:hAnsi="Times New Roman" w:cs="Times New Roman"/>
          <w:color w:val="000000"/>
          <w:sz w:val="24"/>
          <w:szCs w:val="24"/>
        </w:rPr>
        <w:t xml:space="preserve">tematiskajās jomās norādītajām studiju programmām: </w:t>
      </w:r>
    </w:p>
    <w:tbl>
      <w:tblPr>
        <w:tblStyle w:val="TableGrid"/>
        <w:tblW w:w="10201" w:type="dxa"/>
        <w:jc w:val="center"/>
        <w:tblLayout w:type="fixed"/>
        <w:tblLook w:val="04A0" w:firstRow="1" w:lastRow="0" w:firstColumn="1" w:lastColumn="0" w:noHBand="0" w:noVBand="1"/>
      </w:tblPr>
      <w:tblGrid>
        <w:gridCol w:w="1838"/>
        <w:gridCol w:w="851"/>
        <w:gridCol w:w="2267"/>
        <w:gridCol w:w="4381"/>
        <w:gridCol w:w="864"/>
      </w:tblGrid>
      <w:tr w:rsidR="00E73FA6" w:rsidRPr="00853D17" w14:paraId="41E028D5" w14:textId="77777777" w:rsidTr="00A03EEF">
        <w:trPr>
          <w:jc w:val="center"/>
        </w:trPr>
        <w:tc>
          <w:tcPr>
            <w:tcW w:w="1838" w:type="dxa"/>
            <w:vAlign w:val="center"/>
          </w:tcPr>
          <w:p w14:paraId="3F82771F"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Modulis</w:t>
            </w:r>
          </w:p>
        </w:tc>
        <w:tc>
          <w:tcPr>
            <w:tcW w:w="851" w:type="dxa"/>
            <w:vAlign w:val="center"/>
          </w:tcPr>
          <w:p w14:paraId="0B20B622" w14:textId="77777777" w:rsidR="00E73FA6" w:rsidRPr="00853D17" w:rsidRDefault="00E73FA6" w:rsidP="00A03EEF">
            <w:pPr>
              <w:pStyle w:val="NormalWeb"/>
              <w:spacing w:before="0" w:beforeAutospacing="0" w:after="0" w:afterAutospacing="0"/>
              <w:ind w:hanging="23"/>
              <w:jc w:val="center"/>
              <w:rPr>
                <w:bCs/>
                <w:sz w:val="20"/>
                <w:szCs w:val="18"/>
              </w:rPr>
            </w:pPr>
            <w:r w:rsidRPr="00853D17">
              <w:rPr>
                <w:bCs/>
                <w:sz w:val="20"/>
                <w:szCs w:val="18"/>
              </w:rPr>
              <w:t xml:space="preserve">Studiju </w:t>
            </w:r>
            <w:proofErr w:type="spellStart"/>
            <w:r w:rsidRPr="00853D17">
              <w:rPr>
                <w:bCs/>
                <w:sz w:val="20"/>
                <w:szCs w:val="18"/>
              </w:rPr>
              <w:t>progr</w:t>
            </w:r>
            <w:proofErr w:type="spellEnd"/>
            <w:r w:rsidRPr="00853D17">
              <w:rPr>
                <w:bCs/>
                <w:sz w:val="20"/>
                <w:szCs w:val="18"/>
              </w:rPr>
              <w:t>. šifrs</w:t>
            </w:r>
          </w:p>
        </w:tc>
        <w:tc>
          <w:tcPr>
            <w:tcW w:w="2267" w:type="dxa"/>
            <w:vAlign w:val="center"/>
          </w:tcPr>
          <w:p w14:paraId="00F7EFFA"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Studiju programmas nosaukums</w:t>
            </w:r>
          </w:p>
        </w:tc>
        <w:tc>
          <w:tcPr>
            <w:tcW w:w="4381" w:type="dxa"/>
            <w:vAlign w:val="center"/>
          </w:tcPr>
          <w:p w14:paraId="42BDF115"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Studiju kursa šifrs un nosaukums</w:t>
            </w:r>
          </w:p>
        </w:tc>
        <w:tc>
          <w:tcPr>
            <w:tcW w:w="864" w:type="dxa"/>
            <w:vAlign w:val="center"/>
          </w:tcPr>
          <w:p w14:paraId="0BD6935E"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 xml:space="preserve">Kursu </w:t>
            </w:r>
            <w:proofErr w:type="spellStart"/>
            <w:r w:rsidRPr="00853D17">
              <w:rPr>
                <w:bCs/>
                <w:sz w:val="20"/>
                <w:szCs w:val="18"/>
              </w:rPr>
              <w:t>kredītp</w:t>
            </w:r>
            <w:proofErr w:type="spellEnd"/>
            <w:r w:rsidRPr="00853D17">
              <w:rPr>
                <w:bCs/>
                <w:sz w:val="20"/>
                <w:szCs w:val="18"/>
              </w:rPr>
              <w:t>. apjoms</w:t>
            </w:r>
          </w:p>
        </w:tc>
      </w:tr>
      <w:tr w:rsidR="00E73FA6" w:rsidRPr="00853D17" w14:paraId="04EBCED0" w14:textId="77777777" w:rsidTr="00A03EEF">
        <w:trPr>
          <w:trHeight w:val="425"/>
          <w:jc w:val="center"/>
        </w:trPr>
        <w:tc>
          <w:tcPr>
            <w:tcW w:w="1838" w:type="dxa"/>
            <w:vMerge w:val="restart"/>
            <w:vAlign w:val="center"/>
          </w:tcPr>
          <w:p w14:paraId="4F8B493F" w14:textId="77777777" w:rsidR="00E73FA6" w:rsidRPr="00853D17" w:rsidRDefault="00E73FA6" w:rsidP="00A03EEF">
            <w:pPr>
              <w:pStyle w:val="NormalWeb"/>
              <w:spacing w:before="0" w:beforeAutospacing="0" w:after="0" w:afterAutospacing="0"/>
              <w:jc w:val="center"/>
              <w:rPr>
                <w:color w:val="000000"/>
                <w:sz w:val="20"/>
                <w:szCs w:val="18"/>
              </w:rPr>
            </w:pPr>
            <w:r w:rsidRPr="00853D17">
              <w:rPr>
                <w:color w:val="000000"/>
                <w:sz w:val="20"/>
                <w:szCs w:val="18"/>
              </w:rPr>
              <w:t xml:space="preserve">Datorizētā projektēšana, 3D </w:t>
            </w:r>
            <w:r w:rsidRPr="00853D17">
              <w:rPr>
                <w:color w:val="000000"/>
                <w:sz w:val="20"/>
                <w:szCs w:val="18"/>
              </w:rPr>
              <w:lastRenderedPageBreak/>
              <w:t>modelēšana un dizains</w:t>
            </w:r>
          </w:p>
        </w:tc>
        <w:tc>
          <w:tcPr>
            <w:tcW w:w="851" w:type="dxa"/>
            <w:vAlign w:val="center"/>
          </w:tcPr>
          <w:p w14:paraId="2D85D5DF"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lastRenderedPageBreak/>
              <w:t>BCS0</w:t>
            </w:r>
          </w:p>
        </w:tc>
        <w:tc>
          <w:tcPr>
            <w:tcW w:w="2267" w:type="dxa"/>
            <w:vAlign w:val="center"/>
          </w:tcPr>
          <w:p w14:paraId="026A99A4" w14:textId="77777777" w:rsidR="00E73FA6" w:rsidRPr="00853D17" w:rsidRDefault="00E73FA6" w:rsidP="005330CF">
            <w:pPr>
              <w:pStyle w:val="NormalWeb"/>
              <w:spacing w:before="0" w:beforeAutospacing="0" w:after="0" w:afterAutospacing="0"/>
              <w:rPr>
                <w:bCs/>
                <w:sz w:val="20"/>
                <w:szCs w:val="18"/>
              </w:rPr>
            </w:pPr>
            <w:r w:rsidRPr="00853D17">
              <w:rPr>
                <w:color w:val="000000"/>
                <w:sz w:val="20"/>
                <w:szCs w:val="18"/>
              </w:rPr>
              <w:t>Siltuma, gāzes un ūdens tehnoloģija</w:t>
            </w:r>
          </w:p>
        </w:tc>
        <w:tc>
          <w:tcPr>
            <w:tcW w:w="4381" w:type="dxa"/>
            <w:vAlign w:val="center"/>
          </w:tcPr>
          <w:p w14:paraId="4E94E2F2" w14:textId="56DAFB8B" w:rsidR="00E73FA6" w:rsidRPr="005330CF" w:rsidRDefault="005330CF" w:rsidP="005330CF">
            <w:pPr>
              <w:pStyle w:val="NormalWeb"/>
              <w:spacing w:before="0" w:beforeAutospacing="0" w:after="0" w:afterAutospacing="0"/>
              <w:rPr>
                <w:bCs/>
                <w:sz w:val="20"/>
                <w:szCs w:val="18"/>
              </w:rPr>
            </w:pPr>
            <w:r w:rsidRPr="005330CF">
              <w:rPr>
                <w:bCs/>
                <w:sz w:val="20"/>
                <w:szCs w:val="18"/>
              </w:rPr>
              <w:t>BŪK327 Dabas ūdens apstrāde</w:t>
            </w:r>
          </w:p>
        </w:tc>
        <w:tc>
          <w:tcPr>
            <w:tcW w:w="864" w:type="dxa"/>
            <w:vAlign w:val="center"/>
          </w:tcPr>
          <w:p w14:paraId="40D34ADD" w14:textId="77777777" w:rsidR="00E73FA6" w:rsidRPr="005330CF" w:rsidRDefault="00E73FA6" w:rsidP="00A03EEF">
            <w:pPr>
              <w:pStyle w:val="NormalWeb"/>
              <w:spacing w:before="0" w:beforeAutospacing="0" w:after="0" w:afterAutospacing="0"/>
              <w:jc w:val="center"/>
              <w:rPr>
                <w:bCs/>
                <w:sz w:val="20"/>
                <w:szCs w:val="18"/>
              </w:rPr>
            </w:pPr>
            <w:r w:rsidRPr="005330CF">
              <w:rPr>
                <w:bCs/>
                <w:sz w:val="20"/>
                <w:szCs w:val="18"/>
              </w:rPr>
              <w:t>4</w:t>
            </w:r>
          </w:p>
        </w:tc>
      </w:tr>
      <w:tr w:rsidR="00E73FA6" w:rsidRPr="00853D17" w14:paraId="0177FE20" w14:textId="77777777" w:rsidTr="00A03EEF">
        <w:trPr>
          <w:jc w:val="center"/>
        </w:trPr>
        <w:tc>
          <w:tcPr>
            <w:tcW w:w="1838" w:type="dxa"/>
            <w:vMerge/>
            <w:vAlign w:val="center"/>
          </w:tcPr>
          <w:p w14:paraId="6569C2D3"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2563FA83"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MCF0</w:t>
            </w:r>
          </w:p>
        </w:tc>
        <w:tc>
          <w:tcPr>
            <w:tcW w:w="2267" w:type="dxa"/>
            <w:vAlign w:val="center"/>
          </w:tcPr>
          <w:p w14:paraId="078E2F9C" w14:textId="77777777" w:rsidR="00E73FA6" w:rsidRPr="00853D17" w:rsidRDefault="00E73FA6" w:rsidP="005330CF">
            <w:pPr>
              <w:pStyle w:val="NormalWeb"/>
              <w:spacing w:before="0" w:beforeAutospacing="0" w:after="0" w:afterAutospacing="0"/>
              <w:rPr>
                <w:bCs/>
                <w:sz w:val="20"/>
                <w:szCs w:val="18"/>
              </w:rPr>
            </w:pPr>
            <w:r w:rsidRPr="00853D17">
              <w:rPr>
                <w:color w:val="000000"/>
                <w:sz w:val="20"/>
                <w:szCs w:val="18"/>
              </w:rPr>
              <w:t>Medicīnas inženierija un fizika</w:t>
            </w:r>
          </w:p>
        </w:tc>
        <w:tc>
          <w:tcPr>
            <w:tcW w:w="4381" w:type="dxa"/>
            <w:vAlign w:val="center"/>
          </w:tcPr>
          <w:p w14:paraId="74C53A1A" w14:textId="77777777" w:rsidR="00E73FA6" w:rsidRPr="00853D17" w:rsidRDefault="00E73FA6" w:rsidP="005330CF">
            <w:pPr>
              <w:pStyle w:val="NormalWeb"/>
              <w:spacing w:before="0" w:beforeAutospacing="0" w:after="0" w:afterAutospacing="0"/>
              <w:rPr>
                <w:bCs/>
                <w:sz w:val="20"/>
                <w:szCs w:val="18"/>
              </w:rPr>
            </w:pPr>
            <w:r w:rsidRPr="00853D17">
              <w:rPr>
                <w:color w:val="000000"/>
                <w:sz w:val="20"/>
                <w:szCs w:val="18"/>
              </w:rPr>
              <w:t>BTG450 Mašīnu elementu parametriskā modelēšana</w:t>
            </w:r>
          </w:p>
        </w:tc>
        <w:tc>
          <w:tcPr>
            <w:tcW w:w="864" w:type="dxa"/>
            <w:vAlign w:val="center"/>
          </w:tcPr>
          <w:p w14:paraId="4D52EDC2"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3</w:t>
            </w:r>
          </w:p>
        </w:tc>
      </w:tr>
      <w:tr w:rsidR="00E73FA6" w:rsidRPr="00853D17" w14:paraId="7B5EDDC1" w14:textId="77777777" w:rsidTr="00A03EEF">
        <w:trPr>
          <w:jc w:val="center"/>
        </w:trPr>
        <w:tc>
          <w:tcPr>
            <w:tcW w:w="1838" w:type="dxa"/>
            <w:vMerge w:val="restart"/>
            <w:vAlign w:val="center"/>
          </w:tcPr>
          <w:p w14:paraId="735CD283" w14:textId="77777777" w:rsidR="00E73FA6" w:rsidRPr="00853D17" w:rsidRDefault="00E73FA6" w:rsidP="00A03EEF">
            <w:pPr>
              <w:pStyle w:val="NormalWeb"/>
              <w:spacing w:before="0" w:beforeAutospacing="0" w:after="0" w:afterAutospacing="0"/>
              <w:jc w:val="center"/>
              <w:rPr>
                <w:color w:val="000000"/>
                <w:sz w:val="20"/>
                <w:szCs w:val="18"/>
              </w:rPr>
            </w:pPr>
            <w:r w:rsidRPr="00853D17">
              <w:rPr>
                <w:color w:val="000000"/>
                <w:sz w:val="20"/>
                <w:szCs w:val="18"/>
              </w:rPr>
              <w:t>Datu analīze, mašīnmācīšanās, datu zinātne</w:t>
            </w:r>
          </w:p>
        </w:tc>
        <w:tc>
          <w:tcPr>
            <w:tcW w:w="851" w:type="dxa"/>
            <w:vAlign w:val="center"/>
          </w:tcPr>
          <w:p w14:paraId="4B04D0F8"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DBD0</w:t>
            </w:r>
          </w:p>
        </w:tc>
        <w:tc>
          <w:tcPr>
            <w:tcW w:w="2267" w:type="dxa"/>
            <w:vAlign w:val="center"/>
          </w:tcPr>
          <w:p w14:paraId="12D19655"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Datorsistēmas</w:t>
            </w:r>
          </w:p>
        </w:tc>
        <w:tc>
          <w:tcPr>
            <w:tcW w:w="4381" w:type="dxa"/>
            <w:vAlign w:val="center"/>
          </w:tcPr>
          <w:p w14:paraId="0D81055C" w14:textId="76C84DEC" w:rsidR="00E73FA6" w:rsidRPr="005330CF" w:rsidRDefault="005330CF" w:rsidP="005330CF">
            <w:pPr>
              <w:pStyle w:val="NormalWeb"/>
              <w:spacing w:before="0" w:beforeAutospacing="0" w:after="0" w:afterAutospacing="0"/>
              <w:rPr>
                <w:bCs/>
                <w:sz w:val="20"/>
                <w:szCs w:val="18"/>
              </w:rPr>
            </w:pPr>
            <w:r w:rsidRPr="005330CF">
              <w:rPr>
                <w:bCs/>
                <w:sz w:val="20"/>
                <w:szCs w:val="18"/>
              </w:rPr>
              <w:t>DOP204 Skaitliskās metodes</w:t>
            </w:r>
          </w:p>
        </w:tc>
        <w:tc>
          <w:tcPr>
            <w:tcW w:w="864" w:type="dxa"/>
            <w:vAlign w:val="center"/>
          </w:tcPr>
          <w:p w14:paraId="29B76307" w14:textId="77777777" w:rsidR="00E73FA6" w:rsidRPr="005330CF" w:rsidRDefault="00E73FA6" w:rsidP="00A03EEF">
            <w:pPr>
              <w:pStyle w:val="NormalWeb"/>
              <w:spacing w:before="0" w:beforeAutospacing="0" w:after="0" w:afterAutospacing="0"/>
              <w:jc w:val="center"/>
              <w:rPr>
                <w:bCs/>
                <w:sz w:val="20"/>
                <w:szCs w:val="18"/>
              </w:rPr>
            </w:pPr>
            <w:r w:rsidRPr="005330CF">
              <w:rPr>
                <w:bCs/>
                <w:sz w:val="20"/>
                <w:szCs w:val="18"/>
              </w:rPr>
              <w:t>2</w:t>
            </w:r>
          </w:p>
        </w:tc>
      </w:tr>
      <w:tr w:rsidR="00E73FA6" w:rsidRPr="00853D17" w14:paraId="2C4771FE" w14:textId="77777777" w:rsidTr="00A03EEF">
        <w:trPr>
          <w:jc w:val="center"/>
        </w:trPr>
        <w:tc>
          <w:tcPr>
            <w:tcW w:w="1838" w:type="dxa"/>
            <w:vMerge/>
            <w:vAlign w:val="center"/>
          </w:tcPr>
          <w:p w14:paraId="016E29A2"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7A3FCA58"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DCM0</w:t>
            </w:r>
          </w:p>
        </w:tc>
        <w:tc>
          <w:tcPr>
            <w:tcW w:w="2267" w:type="dxa"/>
            <w:vAlign w:val="center"/>
          </w:tcPr>
          <w:p w14:paraId="7C428F66"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Finanšu inženierija</w:t>
            </w:r>
          </w:p>
        </w:tc>
        <w:tc>
          <w:tcPr>
            <w:tcW w:w="4381" w:type="dxa"/>
            <w:vAlign w:val="center"/>
          </w:tcPr>
          <w:p w14:paraId="208423FC" w14:textId="239DCF13" w:rsidR="00E73FA6" w:rsidRPr="005330CF" w:rsidRDefault="005330CF" w:rsidP="005330CF">
            <w:pPr>
              <w:pStyle w:val="NormalWeb"/>
              <w:spacing w:before="0" w:beforeAutospacing="0" w:after="0" w:afterAutospacing="0"/>
              <w:rPr>
                <w:bCs/>
                <w:sz w:val="20"/>
                <w:szCs w:val="18"/>
              </w:rPr>
            </w:pPr>
            <w:r w:rsidRPr="005330CF">
              <w:rPr>
                <w:bCs/>
                <w:sz w:val="20"/>
                <w:szCs w:val="18"/>
              </w:rPr>
              <w:t>DMS325 Montekarlo metodes finanšu inženierijā</w:t>
            </w:r>
          </w:p>
        </w:tc>
        <w:tc>
          <w:tcPr>
            <w:tcW w:w="864" w:type="dxa"/>
            <w:vAlign w:val="center"/>
          </w:tcPr>
          <w:p w14:paraId="08652BA1" w14:textId="77777777" w:rsidR="00E73FA6" w:rsidRPr="005330CF" w:rsidRDefault="00E73FA6" w:rsidP="00A03EEF">
            <w:pPr>
              <w:pStyle w:val="NormalWeb"/>
              <w:spacing w:before="0" w:beforeAutospacing="0" w:after="0" w:afterAutospacing="0"/>
              <w:jc w:val="center"/>
              <w:rPr>
                <w:bCs/>
                <w:sz w:val="20"/>
                <w:szCs w:val="18"/>
              </w:rPr>
            </w:pPr>
            <w:r w:rsidRPr="005330CF">
              <w:rPr>
                <w:bCs/>
                <w:sz w:val="20"/>
                <w:szCs w:val="18"/>
              </w:rPr>
              <w:t>4</w:t>
            </w:r>
          </w:p>
        </w:tc>
      </w:tr>
      <w:tr w:rsidR="00E73FA6" w:rsidRPr="00853D17" w14:paraId="5A7B305C" w14:textId="77777777" w:rsidTr="00A03EEF">
        <w:trPr>
          <w:jc w:val="center"/>
        </w:trPr>
        <w:tc>
          <w:tcPr>
            <w:tcW w:w="1838" w:type="dxa"/>
            <w:vMerge/>
            <w:vAlign w:val="center"/>
          </w:tcPr>
          <w:p w14:paraId="4BECE115"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5983CB3A"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DMB0</w:t>
            </w:r>
          </w:p>
        </w:tc>
        <w:tc>
          <w:tcPr>
            <w:tcW w:w="2267" w:type="dxa"/>
            <w:vAlign w:val="center"/>
          </w:tcPr>
          <w:p w14:paraId="30185FCA"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Biznesa informātika</w:t>
            </w:r>
          </w:p>
        </w:tc>
        <w:tc>
          <w:tcPr>
            <w:tcW w:w="4381" w:type="dxa"/>
            <w:vAlign w:val="center"/>
          </w:tcPr>
          <w:p w14:paraId="321F9B8E" w14:textId="117E3FCC" w:rsidR="00E73FA6" w:rsidRPr="005330CF" w:rsidRDefault="005330CF" w:rsidP="005330CF">
            <w:pPr>
              <w:pStyle w:val="NormalWeb"/>
              <w:spacing w:before="0" w:beforeAutospacing="0" w:after="0" w:afterAutospacing="0"/>
              <w:rPr>
                <w:bCs/>
                <w:sz w:val="20"/>
                <w:szCs w:val="18"/>
              </w:rPr>
            </w:pPr>
            <w:r w:rsidRPr="005330CF">
              <w:rPr>
                <w:bCs/>
                <w:sz w:val="20"/>
                <w:szCs w:val="18"/>
              </w:rPr>
              <w:t>DPI721 Biznesa analītika</w:t>
            </w:r>
          </w:p>
        </w:tc>
        <w:tc>
          <w:tcPr>
            <w:tcW w:w="864" w:type="dxa"/>
            <w:vAlign w:val="center"/>
          </w:tcPr>
          <w:p w14:paraId="019F61E5" w14:textId="77777777" w:rsidR="00E73FA6" w:rsidRPr="005330CF" w:rsidRDefault="00E73FA6" w:rsidP="00A03EEF">
            <w:pPr>
              <w:pStyle w:val="NormalWeb"/>
              <w:spacing w:before="0" w:beforeAutospacing="0" w:after="0" w:afterAutospacing="0"/>
              <w:jc w:val="center"/>
              <w:rPr>
                <w:bCs/>
                <w:sz w:val="20"/>
                <w:szCs w:val="18"/>
              </w:rPr>
            </w:pPr>
            <w:r w:rsidRPr="005330CF">
              <w:rPr>
                <w:bCs/>
                <w:sz w:val="20"/>
                <w:szCs w:val="18"/>
              </w:rPr>
              <w:t>4</w:t>
            </w:r>
          </w:p>
        </w:tc>
      </w:tr>
      <w:tr w:rsidR="00E73FA6" w:rsidRPr="00853D17" w14:paraId="6F75B5B8" w14:textId="77777777" w:rsidTr="00A03EEF">
        <w:trPr>
          <w:trHeight w:val="574"/>
          <w:jc w:val="center"/>
        </w:trPr>
        <w:tc>
          <w:tcPr>
            <w:tcW w:w="1838" w:type="dxa"/>
            <w:vMerge w:val="restart"/>
            <w:vAlign w:val="center"/>
          </w:tcPr>
          <w:p w14:paraId="42FB0CAB" w14:textId="77777777" w:rsidR="00E73FA6" w:rsidRPr="00853D17" w:rsidRDefault="00E73FA6" w:rsidP="00A03EEF">
            <w:pPr>
              <w:pStyle w:val="NormalWeb"/>
              <w:spacing w:before="0" w:beforeAutospacing="0" w:after="0" w:afterAutospacing="0"/>
              <w:jc w:val="center"/>
              <w:rPr>
                <w:color w:val="000000"/>
                <w:sz w:val="20"/>
                <w:szCs w:val="18"/>
              </w:rPr>
            </w:pPr>
            <w:r w:rsidRPr="00853D17">
              <w:rPr>
                <w:color w:val="000000"/>
                <w:sz w:val="20"/>
                <w:szCs w:val="18"/>
              </w:rPr>
              <w:t>Mākslīgais intelekts, tostarp attēlos balstīta diagnosticēšana medicīnā</w:t>
            </w:r>
          </w:p>
        </w:tc>
        <w:tc>
          <w:tcPr>
            <w:tcW w:w="851" w:type="dxa"/>
            <w:vAlign w:val="center"/>
          </w:tcPr>
          <w:p w14:paraId="3421D9DC"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MCG0</w:t>
            </w:r>
          </w:p>
        </w:tc>
        <w:tc>
          <w:tcPr>
            <w:tcW w:w="2267" w:type="dxa"/>
            <w:vAlign w:val="center"/>
          </w:tcPr>
          <w:p w14:paraId="11AF8951"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Siltumenerģētika un siltumtehnika</w:t>
            </w:r>
          </w:p>
        </w:tc>
        <w:tc>
          <w:tcPr>
            <w:tcW w:w="4381" w:type="dxa"/>
            <w:vAlign w:val="center"/>
          </w:tcPr>
          <w:p w14:paraId="1633AB57" w14:textId="15D29509" w:rsidR="00E73FA6" w:rsidRPr="005330CF" w:rsidRDefault="005330CF" w:rsidP="005330CF">
            <w:pPr>
              <w:pStyle w:val="NormalWeb"/>
              <w:spacing w:before="0" w:beforeAutospacing="0" w:after="0" w:afterAutospacing="0"/>
              <w:rPr>
                <w:bCs/>
                <w:sz w:val="20"/>
                <w:szCs w:val="18"/>
              </w:rPr>
            </w:pPr>
            <w:r w:rsidRPr="005330CF">
              <w:rPr>
                <w:bCs/>
                <w:sz w:val="20"/>
                <w:szCs w:val="18"/>
              </w:rPr>
              <w:t>MSE448 Siltuma elektrostacijas</w:t>
            </w:r>
          </w:p>
        </w:tc>
        <w:tc>
          <w:tcPr>
            <w:tcW w:w="864" w:type="dxa"/>
            <w:vAlign w:val="center"/>
          </w:tcPr>
          <w:p w14:paraId="5740E3F3" w14:textId="77777777" w:rsidR="00E73FA6" w:rsidRPr="005330CF" w:rsidRDefault="00E73FA6" w:rsidP="00A03EEF">
            <w:pPr>
              <w:pStyle w:val="NormalWeb"/>
              <w:spacing w:before="0" w:beforeAutospacing="0" w:after="0" w:afterAutospacing="0"/>
              <w:jc w:val="center"/>
              <w:rPr>
                <w:bCs/>
                <w:sz w:val="20"/>
                <w:szCs w:val="18"/>
              </w:rPr>
            </w:pPr>
            <w:r w:rsidRPr="005330CF">
              <w:rPr>
                <w:bCs/>
                <w:sz w:val="20"/>
                <w:szCs w:val="18"/>
              </w:rPr>
              <w:t>4</w:t>
            </w:r>
          </w:p>
        </w:tc>
      </w:tr>
      <w:tr w:rsidR="00E73FA6" w:rsidRPr="00853D17" w14:paraId="20E92593" w14:textId="77777777" w:rsidTr="00A03EEF">
        <w:trPr>
          <w:jc w:val="center"/>
        </w:trPr>
        <w:tc>
          <w:tcPr>
            <w:tcW w:w="1838" w:type="dxa"/>
            <w:vMerge/>
            <w:vAlign w:val="center"/>
          </w:tcPr>
          <w:p w14:paraId="11C948E3"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71FDD573"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IGM0</w:t>
            </w:r>
          </w:p>
        </w:tc>
        <w:tc>
          <w:tcPr>
            <w:tcW w:w="2267" w:type="dxa"/>
            <w:vAlign w:val="center"/>
          </w:tcPr>
          <w:p w14:paraId="31F28454"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Muitas un nodokļu administrēšana</w:t>
            </w:r>
          </w:p>
        </w:tc>
        <w:tc>
          <w:tcPr>
            <w:tcW w:w="4381" w:type="dxa"/>
            <w:vAlign w:val="center"/>
          </w:tcPr>
          <w:p w14:paraId="3FCB658E" w14:textId="77777777" w:rsidR="00E73FA6" w:rsidRPr="00853D17" w:rsidRDefault="00E73FA6" w:rsidP="005330CF">
            <w:pPr>
              <w:pStyle w:val="NormalWeb"/>
              <w:spacing w:before="0" w:beforeAutospacing="0" w:after="0" w:afterAutospacing="0"/>
              <w:rPr>
                <w:bCs/>
                <w:sz w:val="20"/>
                <w:szCs w:val="18"/>
              </w:rPr>
            </w:pPr>
            <w:r w:rsidRPr="00853D17">
              <w:rPr>
                <w:bCs/>
                <w:sz w:val="20"/>
                <w:szCs w:val="18"/>
              </w:rPr>
              <w:t>IMP716 Muitas kontroles tehnoloģija un ierīces</w:t>
            </w:r>
          </w:p>
        </w:tc>
        <w:tc>
          <w:tcPr>
            <w:tcW w:w="864" w:type="dxa"/>
            <w:vAlign w:val="center"/>
          </w:tcPr>
          <w:p w14:paraId="7903C6A8"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3</w:t>
            </w:r>
          </w:p>
        </w:tc>
      </w:tr>
      <w:tr w:rsidR="00E73FA6" w:rsidRPr="00853D17" w14:paraId="60794953" w14:textId="77777777" w:rsidTr="00A03EEF">
        <w:trPr>
          <w:jc w:val="center"/>
        </w:trPr>
        <w:tc>
          <w:tcPr>
            <w:tcW w:w="1838" w:type="dxa"/>
            <w:vMerge w:val="restart"/>
            <w:vAlign w:val="center"/>
          </w:tcPr>
          <w:p w14:paraId="2B534CB3" w14:textId="77777777" w:rsidR="00E73FA6" w:rsidRPr="00853D17" w:rsidRDefault="00E73FA6" w:rsidP="00A03EEF">
            <w:pPr>
              <w:pStyle w:val="NormalWeb"/>
              <w:spacing w:before="0" w:beforeAutospacing="0" w:after="0" w:afterAutospacing="0"/>
              <w:jc w:val="center"/>
              <w:rPr>
                <w:color w:val="000000"/>
                <w:sz w:val="20"/>
                <w:szCs w:val="18"/>
              </w:rPr>
            </w:pPr>
            <w:r w:rsidRPr="00853D17">
              <w:rPr>
                <w:color w:val="000000"/>
                <w:sz w:val="20"/>
                <w:szCs w:val="18"/>
              </w:rPr>
              <w:t>Modelēšana un simulācija</w:t>
            </w:r>
          </w:p>
        </w:tc>
        <w:tc>
          <w:tcPr>
            <w:tcW w:w="851" w:type="dxa"/>
            <w:vAlign w:val="center"/>
          </w:tcPr>
          <w:p w14:paraId="35B22FC4"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ECV0</w:t>
            </w:r>
          </w:p>
        </w:tc>
        <w:tc>
          <w:tcPr>
            <w:tcW w:w="2267" w:type="dxa"/>
            <w:vAlign w:val="center"/>
          </w:tcPr>
          <w:p w14:paraId="0FDF49A6"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Viedās elektroniskās sistēmas</w:t>
            </w:r>
          </w:p>
        </w:tc>
        <w:tc>
          <w:tcPr>
            <w:tcW w:w="4381" w:type="dxa"/>
            <w:vAlign w:val="center"/>
          </w:tcPr>
          <w:p w14:paraId="041917CF" w14:textId="312277E8" w:rsidR="00E73FA6" w:rsidRPr="00E73FA6" w:rsidRDefault="005330CF" w:rsidP="005330CF">
            <w:pPr>
              <w:pStyle w:val="NormalWeb"/>
              <w:spacing w:before="0" w:beforeAutospacing="0" w:after="0" w:afterAutospacing="0"/>
              <w:rPr>
                <w:bCs/>
                <w:sz w:val="20"/>
                <w:szCs w:val="18"/>
                <w:highlight w:val="yellow"/>
              </w:rPr>
            </w:pPr>
            <w:r w:rsidRPr="007722A4">
              <w:rPr>
                <w:bCs/>
                <w:sz w:val="20"/>
                <w:szCs w:val="18"/>
              </w:rPr>
              <w:t xml:space="preserve">RTR207 Elektroinženieru matemātikas </w:t>
            </w:r>
            <w:proofErr w:type="spellStart"/>
            <w:r w:rsidRPr="007722A4">
              <w:rPr>
                <w:bCs/>
                <w:sz w:val="20"/>
                <w:szCs w:val="18"/>
              </w:rPr>
              <w:t>datorrealizācija</w:t>
            </w:r>
            <w:proofErr w:type="spellEnd"/>
          </w:p>
        </w:tc>
        <w:tc>
          <w:tcPr>
            <w:tcW w:w="864" w:type="dxa"/>
            <w:vAlign w:val="center"/>
          </w:tcPr>
          <w:p w14:paraId="51B32402" w14:textId="77777777" w:rsidR="00E73FA6" w:rsidRPr="00E73FA6" w:rsidRDefault="00E73FA6" w:rsidP="00A03EEF">
            <w:pPr>
              <w:pStyle w:val="NormalWeb"/>
              <w:spacing w:before="0" w:beforeAutospacing="0" w:after="0" w:afterAutospacing="0"/>
              <w:jc w:val="center"/>
              <w:rPr>
                <w:bCs/>
                <w:sz w:val="20"/>
                <w:szCs w:val="18"/>
                <w:highlight w:val="yellow"/>
              </w:rPr>
            </w:pPr>
            <w:r w:rsidRPr="005330CF">
              <w:rPr>
                <w:bCs/>
                <w:sz w:val="20"/>
                <w:szCs w:val="18"/>
              </w:rPr>
              <w:t>3</w:t>
            </w:r>
          </w:p>
        </w:tc>
      </w:tr>
      <w:tr w:rsidR="00E73FA6" w:rsidRPr="00853D17" w14:paraId="35D2D8BA" w14:textId="77777777" w:rsidTr="00A03EEF">
        <w:trPr>
          <w:jc w:val="center"/>
        </w:trPr>
        <w:tc>
          <w:tcPr>
            <w:tcW w:w="1838" w:type="dxa"/>
            <w:vMerge/>
            <w:vAlign w:val="center"/>
          </w:tcPr>
          <w:p w14:paraId="27FEE4DF"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789F122E"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ICL0</w:t>
            </w:r>
          </w:p>
        </w:tc>
        <w:tc>
          <w:tcPr>
            <w:tcW w:w="2267" w:type="dxa"/>
            <w:vAlign w:val="center"/>
          </w:tcPr>
          <w:p w14:paraId="09896061"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Uzņēmējdarbības loģistika</w:t>
            </w:r>
          </w:p>
        </w:tc>
        <w:tc>
          <w:tcPr>
            <w:tcW w:w="4381" w:type="dxa"/>
            <w:vAlign w:val="center"/>
          </w:tcPr>
          <w:p w14:paraId="764331D7" w14:textId="77777777" w:rsidR="00E73FA6" w:rsidRPr="00853D17" w:rsidRDefault="00E73FA6" w:rsidP="005330CF">
            <w:pPr>
              <w:pStyle w:val="NormalWeb"/>
              <w:spacing w:before="0" w:beforeAutospacing="0" w:after="0" w:afterAutospacing="0"/>
              <w:rPr>
                <w:bCs/>
                <w:sz w:val="20"/>
                <w:szCs w:val="18"/>
              </w:rPr>
            </w:pPr>
            <w:r w:rsidRPr="00853D17">
              <w:rPr>
                <w:color w:val="000000"/>
                <w:sz w:val="20"/>
                <w:szCs w:val="18"/>
              </w:rPr>
              <w:t>IĀS743 Starptautisko pārvadājumu vadīšana</w:t>
            </w:r>
          </w:p>
        </w:tc>
        <w:tc>
          <w:tcPr>
            <w:tcW w:w="864" w:type="dxa"/>
            <w:vAlign w:val="center"/>
          </w:tcPr>
          <w:p w14:paraId="0ADC05B0"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4</w:t>
            </w:r>
          </w:p>
        </w:tc>
      </w:tr>
      <w:tr w:rsidR="00E73FA6" w:rsidRPr="00853D17" w14:paraId="6CBAAEB4" w14:textId="77777777" w:rsidTr="00A03EEF">
        <w:trPr>
          <w:trHeight w:val="532"/>
          <w:jc w:val="center"/>
        </w:trPr>
        <w:tc>
          <w:tcPr>
            <w:tcW w:w="1838" w:type="dxa"/>
            <w:vMerge/>
            <w:vAlign w:val="center"/>
          </w:tcPr>
          <w:p w14:paraId="74D11C5A"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15399F29"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DBI0</w:t>
            </w:r>
          </w:p>
        </w:tc>
        <w:tc>
          <w:tcPr>
            <w:tcW w:w="2267" w:type="dxa"/>
            <w:vAlign w:val="center"/>
          </w:tcPr>
          <w:p w14:paraId="5E9BA21D"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Informācijas tehnoloģija</w:t>
            </w:r>
          </w:p>
        </w:tc>
        <w:tc>
          <w:tcPr>
            <w:tcW w:w="4381" w:type="dxa"/>
            <w:vAlign w:val="center"/>
          </w:tcPr>
          <w:p w14:paraId="13A7118C" w14:textId="77777777" w:rsidR="00E73FA6" w:rsidRPr="00853D17" w:rsidRDefault="00E73FA6" w:rsidP="005330CF">
            <w:pPr>
              <w:pStyle w:val="NormalWeb"/>
              <w:spacing w:before="0" w:beforeAutospacing="0" w:after="0" w:afterAutospacing="0"/>
              <w:rPr>
                <w:bCs/>
                <w:sz w:val="20"/>
                <w:szCs w:val="18"/>
              </w:rPr>
            </w:pPr>
            <w:r w:rsidRPr="00853D17">
              <w:rPr>
                <w:bCs/>
                <w:sz w:val="20"/>
                <w:szCs w:val="18"/>
              </w:rPr>
              <w:t>DMI201 Sistēmu modelēšanas un imitācijas pamati</w:t>
            </w:r>
          </w:p>
        </w:tc>
        <w:tc>
          <w:tcPr>
            <w:tcW w:w="864" w:type="dxa"/>
            <w:vAlign w:val="center"/>
          </w:tcPr>
          <w:p w14:paraId="0B58E7A0"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3</w:t>
            </w:r>
          </w:p>
        </w:tc>
      </w:tr>
      <w:tr w:rsidR="005330CF" w:rsidRPr="00853D17" w14:paraId="41955438" w14:textId="77777777" w:rsidTr="00A03EEF">
        <w:trPr>
          <w:jc w:val="center"/>
        </w:trPr>
        <w:tc>
          <w:tcPr>
            <w:tcW w:w="1838" w:type="dxa"/>
            <w:vMerge/>
            <w:vAlign w:val="center"/>
          </w:tcPr>
          <w:p w14:paraId="50CD1777" w14:textId="77777777" w:rsidR="005330CF" w:rsidRPr="00853D17" w:rsidRDefault="005330CF" w:rsidP="005330CF">
            <w:pPr>
              <w:pStyle w:val="NormalWeb"/>
              <w:spacing w:before="0" w:beforeAutospacing="0" w:after="0" w:afterAutospacing="0"/>
              <w:jc w:val="center"/>
              <w:rPr>
                <w:color w:val="000000"/>
                <w:sz w:val="20"/>
                <w:szCs w:val="18"/>
              </w:rPr>
            </w:pPr>
          </w:p>
        </w:tc>
        <w:tc>
          <w:tcPr>
            <w:tcW w:w="851" w:type="dxa"/>
            <w:vAlign w:val="center"/>
          </w:tcPr>
          <w:p w14:paraId="670A159B" w14:textId="77777777" w:rsidR="005330CF" w:rsidRPr="00853D17" w:rsidRDefault="005330CF" w:rsidP="005330CF">
            <w:pPr>
              <w:pStyle w:val="NormalWeb"/>
              <w:spacing w:before="0" w:beforeAutospacing="0" w:after="0" w:afterAutospacing="0"/>
              <w:ind w:hanging="23"/>
              <w:jc w:val="center"/>
              <w:rPr>
                <w:color w:val="000000"/>
                <w:sz w:val="20"/>
                <w:szCs w:val="18"/>
              </w:rPr>
            </w:pPr>
            <w:r w:rsidRPr="00853D17">
              <w:rPr>
                <w:color w:val="000000"/>
                <w:sz w:val="20"/>
                <w:szCs w:val="18"/>
              </w:rPr>
              <w:t>BCB0</w:t>
            </w:r>
          </w:p>
        </w:tc>
        <w:tc>
          <w:tcPr>
            <w:tcW w:w="2267" w:type="dxa"/>
            <w:vAlign w:val="center"/>
          </w:tcPr>
          <w:p w14:paraId="08EBD24C" w14:textId="77777777" w:rsidR="005330CF" w:rsidRPr="00853D17" w:rsidRDefault="005330CF" w:rsidP="005330CF">
            <w:pPr>
              <w:pStyle w:val="NormalWeb"/>
              <w:spacing w:before="0" w:beforeAutospacing="0" w:after="0" w:afterAutospacing="0"/>
              <w:rPr>
                <w:color w:val="000000"/>
                <w:sz w:val="20"/>
                <w:szCs w:val="18"/>
              </w:rPr>
            </w:pPr>
            <w:r w:rsidRPr="00853D17">
              <w:rPr>
                <w:color w:val="000000"/>
                <w:sz w:val="20"/>
                <w:szCs w:val="18"/>
              </w:rPr>
              <w:t>Būvniecība</w:t>
            </w:r>
          </w:p>
        </w:tc>
        <w:tc>
          <w:tcPr>
            <w:tcW w:w="4381" w:type="dxa"/>
            <w:vAlign w:val="center"/>
          </w:tcPr>
          <w:p w14:paraId="59EF722B" w14:textId="48C4032C" w:rsidR="005330CF" w:rsidRPr="00E73FA6" w:rsidRDefault="005330CF" w:rsidP="005330CF">
            <w:pPr>
              <w:pStyle w:val="NormalWeb"/>
              <w:spacing w:before="0" w:beforeAutospacing="0" w:after="0" w:afterAutospacing="0"/>
              <w:rPr>
                <w:bCs/>
                <w:sz w:val="20"/>
                <w:szCs w:val="18"/>
                <w:highlight w:val="yellow"/>
              </w:rPr>
            </w:pPr>
            <w:r w:rsidRPr="007722A4">
              <w:rPr>
                <w:bCs/>
                <w:sz w:val="20"/>
                <w:szCs w:val="18"/>
              </w:rPr>
              <w:t>BBM717 Būvmehānika I daļa</w:t>
            </w:r>
          </w:p>
        </w:tc>
        <w:tc>
          <w:tcPr>
            <w:tcW w:w="864" w:type="dxa"/>
            <w:vAlign w:val="center"/>
          </w:tcPr>
          <w:p w14:paraId="51FBBD2D" w14:textId="668D95F0" w:rsidR="005330CF" w:rsidRPr="00E73FA6" w:rsidRDefault="005330CF" w:rsidP="005330CF">
            <w:pPr>
              <w:pStyle w:val="NormalWeb"/>
              <w:spacing w:before="0" w:beforeAutospacing="0" w:after="0" w:afterAutospacing="0"/>
              <w:jc w:val="center"/>
              <w:rPr>
                <w:bCs/>
                <w:sz w:val="20"/>
                <w:szCs w:val="18"/>
                <w:highlight w:val="yellow"/>
              </w:rPr>
            </w:pPr>
            <w:r w:rsidRPr="00853D17">
              <w:rPr>
                <w:bCs/>
                <w:sz w:val="20"/>
                <w:szCs w:val="18"/>
              </w:rPr>
              <w:t>3</w:t>
            </w:r>
          </w:p>
        </w:tc>
      </w:tr>
      <w:tr w:rsidR="005330CF" w:rsidRPr="00853D17" w14:paraId="18568577" w14:textId="77777777" w:rsidTr="00A03EEF">
        <w:trPr>
          <w:trHeight w:val="91"/>
          <w:jc w:val="center"/>
        </w:trPr>
        <w:tc>
          <w:tcPr>
            <w:tcW w:w="1838" w:type="dxa"/>
            <w:vMerge w:val="restart"/>
            <w:vAlign w:val="center"/>
          </w:tcPr>
          <w:p w14:paraId="18CCBF43" w14:textId="77777777" w:rsidR="005330CF" w:rsidRPr="00853D17" w:rsidRDefault="005330CF" w:rsidP="005330CF">
            <w:pPr>
              <w:pStyle w:val="NormalWeb"/>
              <w:spacing w:before="0" w:beforeAutospacing="0" w:after="0" w:afterAutospacing="0"/>
              <w:jc w:val="center"/>
              <w:rPr>
                <w:color w:val="000000"/>
                <w:sz w:val="20"/>
                <w:szCs w:val="18"/>
              </w:rPr>
            </w:pPr>
            <w:r w:rsidRPr="00853D17">
              <w:rPr>
                <w:color w:val="000000"/>
                <w:sz w:val="20"/>
                <w:szCs w:val="18"/>
              </w:rPr>
              <w:t>Paralēlā programmēšana</w:t>
            </w:r>
          </w:p>
        </w:tc>
        <w:tc>
          <w:tcPr>
            <w:tcW w:w="851" w:type="dxa"/>
            <w:vAlign w:val="center"/>
          </w:tcPr>
          <w:p w14:paraId="01D23BCB" w14:textId="77777777" w:rsidR="005330CF" w:rsidRPr="00853D17" w:rsidRDefault="005330CF" w:rsidP="005330CF">
            <w:pPr>
              <w:pStyle w:val="NormalWeb"/>
              <w:spacing w:before="0" w:beforeAutospacing="0" w:after="0" w:afterAutospacing="0"/>
              <w:ind w:hanging="23"/>
              <w:jc w:val="center"/>
              <w:rPr>
                <w:color w:val="000000"/>
                <w:sz w:val="20"/>
                <w:szCs w:val="18"/>
              </w:rPr>
            </w:pPr>
            <w:r w:rsidRPr="00853D17">
              <w:rPr>
                <w:color w:val="000000"/>
                <w:sz w:val="20"/>
                <w:szCs w:val="18"/>
              </w:rPr>
              <w:t>MCH0</w:t>
            </w:r>
          </w:p>
        </w:tc>
        <w:tc>
          <w:tcPr>
            <w:tcW w:w="2267" w:type="dxa"/>
            <w:vAlign w:val="center"/>
          </w:tcPr>
          <w:p w14:paraId="794C950A" w14:textId="77777777" w:rsidR="005330CF" w:rsidRPr="00853D17" w:rsidRDefault="005330CF" w:rsidP="005330CF">
            <w:pPr>
              <w:pStyle w:val="NormalWeb"/>
              <w:spacing w:before="0" w:beforeAutospacing="0" w:after="0" w:afterAutospacing="0"/>
              <w:rPr>
                <w:color w:val="000000"/>
                <w:sz w:val="20"/>
                <w:szCs w:val="18"/>
              </w:rPr>
            </w:pPr>
            <w:r w:rsidRPr="00853D17">
              <w:rPr>
                <w:color w:val="000000"/>
                <w:sz w:val="20"/>
                <w:szCs w:val="18"/>
              </w:rPr>
              <w:t>Dzelzceļa inženierija</w:t>
            </w:r>
          </w:p>
        </w:tc>
        <w:tc>
          <w:tcPr>
            <w:tcW w:w="4381" w:type="dxa"/>
            <w:vAlign w:val="center"/>
          </w:tcPr>
          <w:p w14:paraId="09FE869E" w14:textId="5CEDDCB2" w:rsidR="005330CF" w:rsidRPr="00D77975" w:rsidRDefault="00D77975" w:rsidP="005330CF">
            <w:pPr>
              <w:pStyle w:val="NormalWeb"/>
              <w:spacing w:before="0" w:beforeAutospacing="0" w:after="0" w:afterAutospacing="0"/>
              <w:rPr>
                <w:bCs/>
                <w:sz w:val="18"/>
                <w:szCs w:val="18"/>
                <w:highlight w:val="yellow"/>
              </w:rPr>
            </w:pPr>
            <w:r w:rsidRPr="00D77975">
              <w:rPr>
                <w:sz w:val="18"/>
                <w:szCs w:val="18"/>
              </w:rPr>
              <w:t>Paralēlā programmēšana transporta sistēmās</w:t>
            </w:r>
            <w:r>
              <w:rPr>
                <w:sz w:val="18"/>
                <w:szCs w:val="18"/>
              </w:rPr>
              <w:t xml:space="preserve"> (jauns studiju kurss)</w:t>
            </w:r>
          </w:p>
        </w:tc>
        <w:tc>
          <w:tcPr>
            <w:tcW w:w="864" w:type="dxa"/>
            <w:vAlign w:val="center"/>
          </w:tcPr>
          <w:p w14:paraId="047F07AF" w14:textId="675187E3" w:rsidR="005330CF" w:rsidRPr="00E73FA6" w:rsidRDefault="005330CF" w:rsidP="005330CF">
            <w:pPr>
              <w:pStyle w:val="NormalWeb"/>
              <w:spacing w:before="0" w:beforeAutospacing="0" w:after="0" w:afterAutospacing="0"/>
              <w:jc w:val="center"/>
              <w:rPr>
                <w:bCs/>
                <w:sz w:val="20"/>
                <w:szCs w:val="18"/>
                <w:highlight w:val="yellow"/>
              </w:rPr>
            </w:pPr>
            <w:r w:rsidRPr="00853D17">
              <w:rPr>
                <w:bCs/>
                <w:sz w:val="20"/>
                <w:szCs w:val="18"/>
              </w:rPr>
              <w:t>2</w:t>
            </w:r>
          </w:p>
        </w:tc>
      </w:tr>
      <w:tr w:rsidR="00E73FA6" w:rsidRPr="00853D17" w14:paraId="1812AD2A" w14:textId="77777777" w:rsidTr="00A03EEF">
        <w:trPr>
          <w:jc w:val="center"/>
        </w:trPr>
        <w:tc>
          <w:tcPr>
            <w:tcW w:w="1838" w:type="dxa"/>
            <w:vMerge/>
            <w:vAlign w:val="center"/>
          </w:tcPr>
          <w:p w14:paraId="4A4AE53F"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36497283"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DMI0</w:t>
            </w:r>
          </w:p>
        </w:tc>
        <w:tc>
          <w:tcPr>
            <w:tcW w:w="2267" w:type="dxa"/>
            <w:vAlign w:val="center"/>
          </w:tcPr>
          <w:p w14:paraId="3ABAD026" w14:textId="77777777" w:rsidR="00E73FA6" w:rsidRPr="00853D17" w:rsidRDefault="00E73FA6" w:rsidP="005330CF">
            <w:pPr>
              <w:pStyle w:val="NormalWeb"/>
              <w:spacing w:before="0" w:beforeAutospacing="0" w:after="0" w:afterAutospacing="0"/>
              <w:rPr>
                <w:color w:val="000000"/>
                <w:sz w:val="20"/>
                <w:szCs w:val="18"/>
              </w:rPr>
            </w:pPr>
            <w:r w:rsidRPr="00853D17">
              <w:rPr>
                <w:color w:val="000000"/>
                <w:sz w:val="20"/>
                <w:szCs w:val="18"/>
              </w:rPr>
              <w:t>Informācijas tehnoloģija</w:t>
            </w:r>
          </w:p>
        </w:tc>
        <w:tc>
          <w:tcPr>
            <w:tcW w:w="4381" w:type="dxa"/>
            <w:vAlign w:val="center"/>
          </w:tcPr>
          <w:p w14:paraId="2BD0235D" w14:textId="77777777" w:rsidR="00E73FA6" w:rsidRPr="00853D17" w:rsidRDefault="00E73FA6" w:rsidP="005330CF">
            <w:pPr>
              <w:pStyle w:val="NormalWeb"/>
              <w:spacing w:before="0" w:beforeAutospacing="0" w:after="0" w:afterAutospacing="0"/>
              <w:rPr>
                <w:bCs/>
                <w:sz w:val="20"/>
                <w:szCs w:val="18"/>
              </w:rPr>
            </w:pPr>
            <w:r w:rsidRPr="00853D17">
              <w:rPr>
                <w:bCs/>
                <w:sz w:val="20"/>
                <w:szCs w:val="18"/>
              </w:rPr>
              <w:t>DMI727 Augstas veiktspējas skaitļošanas tehnoloģija CUDA</w:t>
            </w:r>
          </w:p>
        </w:tc>
        <w:tc>
          <w:tcPr>
            <w:tcW w:w="864" w:type="dxa"/>
            <w:vAlign w:val="center"/>
          </w:tcPr>
          <w:p w14:paraId="6AE96D4A"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4</w:t>
            </w:r>
          </w:p>
        </w:tc>
      </w:tr>
      <w:tr w:rsidR="00E73FA6" w:rsidRPr="00853D17" w14:paraId="77FCD45E" w14:textId="77777777" w:rsidTr="00A03EEF">
        <w:trPr>
          <w:jc w:val="center"/>
        </w:trPr>
        <w:tc>
          <w:tcPr>
            <w:tcW w:w="1838" w:type="dxa"/>
            <w:vAlign w:val="center"/>
          </w:tcPr>
          <w:p w14:paraId="1F89F2B6" w14:textId="77777777" w:rsidR="00E73FA6" w:rsidRPr="00853D17" w:rsidRDefault="00E73FA6" w:rsidP="00A03EEF">
            <w:pPr>
              <w:pStyle w:val="NormalWeb"/>
              <w:spacing w:before="0" w:beforeAutospacing="0" w:after="0" w:afterAutospacing="0"/>
              <w:jc w:val="center"/>
              <w:rPr>
                <w:color w:val="000000"/>
                <w:sz w:val="20"/>
                <w:szCs w:val="18"/>
              </w:rPr>
            </w:pPr>
            <w:r w:rsidRPr="00853D17">
              <w:rPr>
                <w:color w:val="000000"/>
                <w:sz w:val="20"/>
                <w:szCs w:val="18"/>
              </w:rPr>
              <w:t>Progresīvas skaitļošanas sistēmas un metodes</w:t>
            </w:r>
          </w:p>
        </w:tc>
        <w:tc>
          <w:tcPr>
            <w:tcW w:w="851" w:type="dxa"/>
            <w:vAlign w:val="center"/>
          </w:tcPr>
          <w:p w14:paraId="0A30EA6A" w14:textId="77777777" w:rsidR="00E73FA6" w:rsidRPr="00853D17" w:rsidRDefault="00E73FA6" w:rsidP="00A03EEF">
            <w:pPr>
              <w:pStyle w:val="NormalWeb"/>
              <w:spacing w:before="0" w:beforeAutospacing="0" w:after="0" w:afterAutospacing="0"/>
              <w:ind w:hanging="23"/>
              <w:jc w:val="center"/>
              <w:rPr>
                <w:color w:val="000000"/>
                <w:sz w:val="20"/>
                <w:szCs w:val="18"/>
              </w:rPr>
            </w:pPr>
            <w:r w:rsidRPr="00853D17">
              <w:rPr>
                <w:color w:val="000000"/>
                <w:sz w:val="20"/>
                <w:szCs w:val="18"/>
              </w:rPr>
              <w:t>ECA0</w:t>
            </w:r>
          </w:p>
        </w:tc>
        <w:tc>
          <w:tcPr>
            <w:tcW w:w="2267" w:type="dxa"/>
            <w:vAlign w:val="center"/>
          </w:tcPr>
          <w:p w14:paraId="119DA420" w14:textId="77777777" w:rsidR="00E73FA6" w:rsidRPr="00853D17" w:rsidRDefault="00E73FA6" w:rsidP="005330CF">
            <w:pPr>
              <w:pStyle w:val="NormalWeb"/>
              <w:spacing w:before="0" w:beforeAutospacing="0" w:after="0" w:afterAutospacing="0"/>
              <w:rPr>
                <w:color w:val="000000"/>
                <w:sz w:val="20"/>
                <w:szCs w:val="18"/>
              </w:rPr>
            </w:pPr>
            <w:proofErr w:type="spellStart"/>
            <w:r w:rsidRPr="00853D17">
              <w:rPr>
                <w:color w:val="000000"/>
                <w:sz w:val="20"/>
                <w:szCs w:val="18"/>
              </w:rPr>
              <w:t>Adaptronika</w:t>
            </w:r>
            <w:proofErr w:type="spellEnd"/>
          </w:p>
        </w:tc>
        <w:tc>
          <w:tcPr>
            <w:tcW w:w="4381" w:type="dxa"/>
            <w:vAlign w:val="center"/>
          </w:tcPr>
          <w:p w14:paraId="67AE1B44" w14:textId="77777777" w:rsidR="00E73FA6" w:rsidRPr="00853D17" w:rsidRDefault="00E73FA6" w:rsidP="005330CF">
            <w:pPr>
              <w:pStyle w:val="NormalWeb"/>
              <w:spacing w:before="0" w:beforeAutospacing="0" w:after="0" w:afterAutospacing="0"/>
              <w:rPr>
                <w:bCs/>
                <w:sz w:val="20"/>
                <w:szCs w:val="18"/>
              </w:rPr>
            </w:pPr>
            <w:r w:rsidRPr="00853D17">
              <w:rPr>
                <w:bCs/>
                <w:sz w:val="20"/>
                <w:szCs w:val="18"/>
              </w:rPr>
              <w:t>EEP273 Regulēšanas teorijas pamati; EEI705 Adaptīvo sistēmu projektēšana</w:t>
            </w:r>
          </w:p>
        </w:tc>
        <w:tc>
          <w:tcPr>
            <w:tcW w:w="864" w:type="dxa"/>
            <w:vAlign w:val="center"/>
          </w:tcPr>
          <w:p w14:paraId="1D58F006"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6</w:t>
            </w:r>
          </w:p>
        </w:tc>
      </w:tr>
      <w:tr w:rsidR="005330CF" w:rsidRPr="00853D17" w14:paraId="364DDF68" w14:textId="77777777" w:rsidTr="00A03EEF">
        <w:trPr>
          <w:trHeight w:val="790"/>
          <w:jc w:val="center"/>
        </w:trPr>
        <w:tc>
          <w:tcPr>
            <w:tcW w:w="1838" w:type="dxa"/>
            <w:vMerge w:val="restart"/>
            <w:vAlign w:val="center"/>
          </w:tcPr>
          <w:p w14:paraId="396C1136" w14:textId="77777777" w:rsidR="005330CF" w:rsidRPr="00853D17" w:rsidRDefault="005330CF" w:rsidP="005330CF">
            <w:pPr>
              <w:pStyle w:val="NormalWeb"/>
              <w:spacing w:before="0" w:beforeAutospacing="0" w:after="0" w:afterAutospacing="0"/>
              <w:jc w:val="center"/>
              <w:rPr>
                <w:color w:val="000000"/>
                <w:sz w:val="20"/>
                <w:szCs w:val="18"/>
              </w:rPr>
            </w:pPr>
            <w:r w:rsidRPr="00853D17">
              <w:rPr>
                <w:color w:val="000000"/>
                <w:sz w:val="20"/>
                <w:szCs w:val="18"/>
              </w:rPr>
              <w:t xml:space="preserve">Sarežģītu fizikālu sistēmu </w:t>
            </w:r>
            <w:proofErr w:type="spellStart"/>
            <w:r w:rsidRPr="00853D17">
              <w:rPr>
                <w:color w:val="000000"/>
                <w:sz w:val="20"/>
                <w:szCs w:val="18"/>
              </w:rPr>
              <w:t>inženiermodelēšana</w:t>
            </w:r>
            <w:proofErr w:type="spellEnd"/>
            <w:r w:rsidRPr="00853D17">
              <w:rPr>
                <w:color w:val="000000"/>
                <w:sz w:val="20"/>
                <w:szCs w:val="18"/>
              </w:rPr>
              <w:t xml:space="preserve"> un mehānisko, aerodinamisko, </w:t>
            </w:r>
            <w:proofErr w:type="spellStart"/>
            <w:r w:rsidRPr="00853D17">
              <w:rPr>
                <w:color w:val="000000"/>
                <w:sz w:val="20"/>
                <w:szCs w:val="18"/>
              </w:rPr>
              <w:t>elektrodinamisko</w:t>
            </w:r>
            <w:proofErr w:type="spellEnd"/>
            <w:r w:rsidRPr="00853D17">
              <w:rPr>
                <w:color w:val="000000"/>
                <w:sz w:val="20"/>
                <w:szCs w:val="18"/>
              </w:rPr>
              <w:t xml:space="preserve"> īpašību simulācija</w:t>
            </w:r>
          </w:p>
        </w:tc>
        <w:tc>
          <w:tcPr>
            <w:tcW w:w="851" w:type="dxa"/>
            <w:vAlign w:val="center"/>
          </w:tcPr>
          <w:p w14:paraId="01DD1039" w14:textId="77777777" w:rsidR="005330CF" w:rsidRPr="00853D17" w:rsidRDefault="005330CF" w:rsidP="005330CF">
            <w:pPr>
              <w:pStyle w:val="NormalWeb"/>
              <w:spacing w:before="0" w:beforeAutospacing="0" w:after="0" w:afterAutospacing="0"/>
              <w:ind w:hanging="23"/>
              <w:jc w:val="center"/>
              <w:rPr>
                <w:bCs/>
                <w:sz w:val="20"/>
                <w:szCs w:val="18"/>
              </w:rPr>
            </w:pPr>
            <w:r w:rsidRPr="00853D17">
              <w:rPr>
                <w:color w:val="000000"/>
                <w:sz w:val="20"/>
                <w:szCs w:val="18"/>
              </w:rPr>
              <w:t>MBM0</w:t>
            </w:r>
          </w:p>
        </w:tc>
        <w:tc>
          <w:tcPr>
            <w:tcW w:w="2267" w:type="dxa"/>
            <w:vAlign w:val="center"/>
          </w:tcPr>
          <w:p w14:paraId="18C418C0" w14:textId="77777777" w:rsidR="005330CF" w:rsidRPr="00853D17" w:rsidRDefault="005330CF" w:rsidP="005330CF">
            <w:pPr>
              <w:pStyle w:val="NormalWeb"/>
              <w:spacing w:before="0" w:beforeAutospacing="0" w:after="0" w:afterAutospacing="0"/>
              <w:rPr>
                <w:bCs/>
                <w:sz w:val="20"/>
                <w:szCs w:val="18"/>
              </w:rPr>
            </w:pPr>
            <w:r w:rsidRPr="00853D17">
              <w:rPr>
                <w:color w:val="000000"/>
                <w:sz w:val="20"/>
                <w:szCs w:val="18"/>
              </w:rPr>
              <w:t>Inženiertehnika, mehānika un mašīnbūve</w:t>
            </w:r>
          </w:p>
        </w:tc>
        <w:tc>
          <w:tcPr>
            <w:tcW w:w="4381" w:type="dxa"/>
            <w:vAlign w:val="center"/>
          </w:tcPr>
          <w:p w14:paraId="35F64084" w14:textId="77B5BEF2" w:rsidR="005330CF" w:rsidRPr="00E73FA6" w:rsidRDefault="005330CF" w:rsidP="005330CF">
            <w:pPr>
              <w:pStyle w:val="NormalWeb"/>
              <w:spacing w:before="0" w:beforeAutospacing="0" w:after="0" w:afterAutospacing="0"/>
              <w:rPr>
                <w:bCs/>
                <w:sz w:val="20"/>
                <w:szCs w:val="18"/>
                <w:highlight w:val="yellow"/>
              </w:rPr>
            </w:pPr>
            <w:r w:rsidRPr="007722A4">
              <w:rPr>
                <w:bCs/>
                <w:sz w:val="20"/>
                <w:szCs w:val="18"/>
              </w:rPr>
              <w:t>MTM201 Teorētiskā mehānika (</w:t>
            </w:r>
            <w:proofErr w:type="spellStart"/>
            <w:r w:rsidRPr="007722A4">
              <w:rPr>
                <w:bCs/>
                <w:sz w:val="20"/>
                <w:szCs w:val="18"/>
              </w:rPr>
              <w:t>mašīnzinībās</w:t>
            </w:r>
            <w:proofErr w:type="spellEnd"/>
            <w:r w:rsidRPr="007722A4">
              <w:rPr>
                <w:bCs/>
                <w:sz w:val="20"/>
                <w:szCs w:val="18"/>
              </w:rPr>
              <w:t>)</w:t>
            </w:r>
          </w:p>
        </w:tc>
        <w:tc>
          <w:tcPr>
            <w:tcW w:w="864" w:type="dxa"/>
            <w:vAlign w:val="center"/>
          </w:tcPr>
          <w:p w14:paraId="4315CC5D" w14:textId="396BCE32" w:rsidR="005330CF" w:rsidRPr="00E73FA6" w:rsidRDefault="005330CF" w:rsidP="005330CF">
            <w:pPr>
              <w:pStyle w:val="NormalWeb"/>
              <w:spacing w:before="0" w:beforeAutospacing="0" w:after="0" w:afterAutospacing="0"/>
              <w:jc w:val="center"/>
              <w:rPr>
                <w:bCs/>
                <w:sz w:val="20"/>
                <w:szCs w:val="18"/>
                <w:highlight w:val="yellow"/>
              </w:rPr>
            </w:pPr>
            <w:r>
              <w:rPr>
                <w:bCs/>
                <w:sz w:val="20"/>
                <w:szCs w:val="18"/>
              </w:rPr>
              <w:t>5</w:t>
            </w:r>
          </w:p>
        </w:tc>
      </w:tr>
      <w:tr w:rsidR="00E73FA6" w:rsidRPr="00853D17" w14:paraId="2866280D" w14:textId="77777777" w:rsidTr="00A03EEF">
        <w:trPr>
          <w:jc w:val="center"/>
        </w:trPr>
        <w:tc>
          <w:tcPr>
            <w:tcW w:w="1838" w:type="dxa"/>
            <w:vMerge/>
            <w:vAlign w:val="center"/>
          </w:tcPr>
          <w:p w14:paraId="64806787" w14:textId="77777777" w:rsidR="00E73FA6" w:rsidRPr="00853D17" w:rsidRDefault="00E73FA6" w:rsidP="00A03EEF">
            <w:pPr>
              <w:pStyle w:val="NormalWeb"/>
              <w:spacing w:before="0" w:beforeAutospacing="0" w:after="0" w:afterAutospacing="0"/>
              <w:jc w:val="center"/>
              <w:rPr>
                <w:color w:val="000000"/>
                <w:sz w:val="20"/>
                <w:szCs w:val="18"/>
              </w:rPr>
            </w:pPr>
          </w:p>
        </w:tc>
        <w:tc>
          <w:tcPr>
            <w:tcW w:w="851" w:type="dxa"/>
            <w:vAlign w:val="center"/>
          </w:tcPr>
          <w:p w14:paraId="2D10A293" w14:textId="77777777" w:rsidR="00E73FA6" w:rsidRPr="00853D17" w:rsidRDefault="00E73FA6" w:rsidP="00A03EEF">
            <w:pPr>
              <w:pStyle w:val="NormalWeb"/>
              <w:spacing w:before="0" w:beforeAutospacing="0" w:after="0" w:afterAutospacing="0"/>
              <w:ind w:hanging="23"/>
              <w:jc w:val="center"/>
              <w:rPr>
                <w:bCs/>
                <w:sz w:val="20"/>
                <w:szCs w:val="18"/>
              </w:rPr>
            </w:pPr>
            <w:r w:rsidRPr="00853D17">
              <w:rPr>
                <w:color w:val="000000"/>
                <w:sz w:val="20"/>
                <w:szCs w:val="18"/>
              </w:rPr>
              <w:t>MCN0</w:t>
            </w:r>
          </w:p>
        </w:tc>
        <w:tc>
          <w:tcPr>
            <w:tcW w:w="2267" w:type="dxa"/>
            <w:vAlign w:val="center"/>
          </w:tcPr>
          <w:p w14:paraId="7239B6E5" w14:textId="77777777" w:rsidR="00E73FA6" w:rsidRPr="00853D17" w:rsidRDefault="00E73FA6" w:rsidP="005330CF">
            <w:pPr>
              <w:pStyle w:val="NormalWeb"/>
              <w:spacing w:before="0" w:beforeAutospacing="0" w:after="0" w:afterAutospacing="0"/>
              <w:rPr>
                <w:bCs/>
                <w:sz w:val="20"/>
                <w:szCs w:val="18"/>
              </w:rPr>
            </w:pPr>
            <w:r w:rsidRPr="00853D17">
              <w:rPr>
                <w:color w:val="000000"/>
                <w:sz w:val="20"/>
                <w:szCs w:val="18"/>
              </w:rPr>
              <w:t>Mašīnu un aparātu būvniecība</w:t>
            </w:r>
          </w:p>
        </w:tc>
        <w:tc>
          <w:tcPr>
            <w:tcW w:w="4381" w:type="dxa"/>
            <w:vAlign w:val="center"/>
          </w:tcPr>
          <w:p w14:paraId="2B2A52B3" w14:textId="77777777" w:rsidR="00E73FA6" w:rsidRPr="00853D17" w:rsidRDefault="00E73FA6" w:rsidP="005330CF">
            <w:pPr>
              <w:pStyle w:val="NormalWeb"/>
              <w:spacing w:before="0" w:beforeAutospacing="0" w:after="0" w:afterAutospacing="0"/>
              <w:rPr>
                <w:bCs/>
                <w:sz w:val="20"/>
                <w:szCs w:val="18"/>
              </w:rPr>
            </w:pPr>
            <w:r w:rsidRPr="00853D17">
              <w:rPr>
                <w:bCs/>
                <w:sz w:val="20"/>
                <w:szCs w:val="18"/>
              </w:rPr>
              <w:t xml:space="preserve">MAB243 </w:t>
            </w:r>
            <w:proofErr w:type="spellStart"/>
            <w:r w:rsidRPr="00853D17">
              <w:rPr>
                <w:bCs/>
                <w:sz w:val="20"/>
                <w:szCs w:val="18"/>
              </w:rPr>
              <w:t>Inženieraprēķinu</w:t>
            </w:r>
            <w:proofErr w:type="spellEnd"/>
            <w:r w:rsidRPr="00853D17">
              <w:rPr>
                <w:bCs/>
                <w:sz w:val="20"/>
                <w:szCs w:val="18"/>
              </w:rPr>
              <w:t xml:space="preserve"> programmatūras mašīnbūvē (CEA)</w:t>
            </w:r>
          </w:p>
        </w:tc>
        <w:tc>
          <w:tcPr>
            <w:tcW w:w="864" w:type="dxa"/>
            <w:vAlign w:val="center"/>
          </w:tcPr>
          <w:p w14:paraId="11B358E6" w14:textId="77777777" w:rsidR="00E73FA6" w:rsidRPr="00853D17" w:rsidRDefault="00E73FA6" w:rsidP="00A03EEF">
            <w:pPr>
              <w:pStyle w:val="NormalWeb"/>
              <w:spacing w:before="0" w:beforeAutospacing="0" w:after="0" w:afterAutospacing="0"/>
              <w:jc w:val="center"/>
              <w:rPr>
                <w:bCs/>
                <w:sz w:val="20"/>
                <w:szCs w:val="18"/>
              </w:rPr>
            </w:pPr>
            <w:r w:rsidRPr="00853D17">
              <w:rPr>
                <w:bCs/>
                <w:sz w:val="20"/>
                <w:szCs w:val="18"/>
              </w:rPr>
              <w:t>2</w:t>
            </w:r>
          </w:p>
        </w:tc>
      </w:tr>
      <w:tr w:rsidR="005330CF" w:rsidRPr="00853D17" w14:paraId="63D93E60" w14:textId="77777777" w:rsidTr="00A03EEF">
        <w:trPr>
          <w:trHeight w:val="375"/>
          <w:jc w:val="center"/>
        </w:trPr>
        <w:tc>
          <w:tcPr>
            <w:tcW w:w="1838" w:type="dxa"/>
            <w:vMerge w:val="restart"/>
            <w:vAlign w:val="center"/>
          </w:tcPr>
          <w:p w14:paraId="721B52E9" w14:textId="77777777" w:rsidR="005330CF" w:rsidRPr="00853D17" w:rsidRDefault="005330CF" w:rsidP="005330CF">
            <w:pPr>
              <w:pStyle w:val="NormalWeb"/>
              <w:spacing w:before="0" w:beforeAutospacing="0" w:after="0" w:afterAutospacing="0"/>
              <w:jc w:val="center"/>
              <w:rPr>
                <w:color w:val="000000"/>
                <w:sz w:val="20"/>
                <w:szCs w:val="18"/>
              </w:rPr>
            </w:pPr>
            <w:r w:rsidRPr="00853D17">
              <w:rPr>
                <w:color w:val="000000"/>
                <w:sz w:val="20"/>
                <w:szCs w:val="18"/>
              </w:rPr>
              <w:t>Zinātniskā programmēšana un operētājsistēmas</w:t>
            </w:r>
          </w:p>
        </w:tc>
        <w:tc>
          <w:tcPr>
            <w:tcW w:w="851" w:type="dxa"/>
            <w:vAlign w:val="center"/>
          </w:tcPr>
          <w:p w14:paraId="1D48ACD5" w14:textId="77777777" w:rsidR="005330CF" w:rsidRPr="00853D17" w:rsidRDefault="005330CF" w:rsidP="005330CF">
            <w:pPr>
              <w:pStyle w:val="NormalWeb"/>
              <w:spacing w:before="0" w:beforeAutospacing="0" w:after="0" w:afterAutospacing="0"/>
              <w:ind w:hanging="23"/>
              <w:jc w:val="center"/>
              <w:rPr>
                <w:color w:val="000000"/>
                <w:sz w:val="20"/>
                <w:szCs w:val="18"/>
              </w:rPr>
            </w:pPr>
            <w:r w:rsidRPr="00853D17">
              <w:rPr>
                <w:color w:val="000000"/>
                <w:sz w:val="20"/>
                <w:szCs w:val="18"/>
              </w:rPr>
              <w:t>IMF0</w:t>
            </w:r>
          </w:p>
        </w:tc>
        <w:tc>
          <w:tcPr>
            <w:tcW w:w="2267" w:type="dxa"/>
            <w:vAlign w:val="center"/>
          </w:tcPr>
          <w:p w14:paraId="081B2858" w14:textId="77777777" w:rsidR="005330CF" w:rsidRPr="00853D17" w:rsidRDefault="005330CF" w:rsidP="005330CF">
            <w:pPr>
              <w:pStyle w:val="NormalWeb"/>
              <w:spacing w:before="0" w:beforeAutospacing="0" w:after="0" w:afterAutospacing="0"/>
              <w:rPr>
                <w:color w:val="000000"/>
                <w:sz w:val="20"/>
                <w:szCs w:val="18"/>
              </w:rPr>
            </w:pPr>
            <w:r w:rsidRPr="00853D17">
              <w:rPr>
                <w:color w:val="000000"/>
                <w:sz w:val="20"/>
                <w:szCs w:val="18"/>
              </w:rPr>
              <w:t>Uzņēmējdarbības finanses</w:t>
            </w:r>
          </w:p>
        </w:tc>
        <w:tc>
          <w:tcPr>
            <w:tcW w:w="4381" w:type="dxa"/>
            <w:vAlign w:val="center"/>
          </w:tcPr>
          <w:p w14:paraId="14E77DF4" w14:textId="337820BA" w:rsidR="005330CF" w:rsidRPr="00E73FA6" w:rsidRDefault="005330CF" w:rsidP="005330CF">
            <w:pPr>
              <w:pStyle w:val="NormalWeb"/>
              <w:spacing w:before="0" w:beforeAutospacing="0" w:after="0" w:afterAutospacing="0"/>
              <w:rPr>
                <w:bCs/>
                <w:sz w:val="20"/>
                <w:szCs w:val="18"/>
                <w:highlight w:val="yellow"/>
              </w:rPr>
            </w:pPr>
            <w:r w:rsidRPr="007722A4">
              <w:rPr>
                <w:bCs/>
                <w:sz w:val="20"/>
                <w:szCs w:val="18"/>
              </w:rPr>
              <w:t>IUE589 Ekonomisko procesu prognozēšana</w:t>
            </w:r>
          </w:p>
        </w:tc>
        <w:tc>
          <w:tcPr>
            <w:tcW w:w="864" w:type="dxa"/>
            <w:vAlign w:val="center"/>
          </w:tcPr>
          <w:p w14:paraId="0FD7C625" w14:textId="7D0FA5A8" w:rsidR="005330CF" w:rsidRPr="00E73FA6" w:rsidRDefault="005330CF" w:rsidP="005330CF">
            <w:pPr>
              <w:pStyle w:val="NormalWeb"/>
              <w:spacing w:before="0" w:beforeAutospacing="0" w:after="0" w:afterAutospacing="0"/>
              <w:jc w:val="center"/>
              <w:rPr>
                <w:bCs/>
                <w:sz w:val="20"/>
                <w:szCs w:val="18"/>
                <w:highlight w:val="yellow"/>
              </w:rPr>
            </w:pPr>
            <w:r w:rsidRPr="00853D17">
              <w:rPr>
                <w:bCs/>
                <w:sz w:val="20"/>
                <w:szCs w:val="18"/>
              </w:rPr>
              <w:t>4</w:t>
            </w:r>
          </w:p>
        </w:tc>
      </w:tr>
      <w:tr w:rsidR="005330CF" w:rsidRPr="00853D17" w14:paraId="00813F30" w14:textId="77777777" w:rsidTr="00A03EEF">
        <w:trPr>
          <w:jc w:val="center"/>
        </w:trPr>
        <w:tc>
          <w:tcPr>
            <w:tcW w:w="1838" w:type="dxa"/>
            <w:vMerge/>
            <w:vAlign w:val="center"/>
          </w:tcPr>
          <w:p w14:paraId="203AC6EA" w14:textId="77777777" w:rsidR="005330CF" w:rsidRPr="00853D17" w:rsidRDefault="005330CF" w:rsidP="00A03EEF">
            <w:pPr>
              <w:pStyle w:val="NormalWeb"/>
              <w:spacing w:before="0" w:beforeAutospacing="0" w:after="0" w:afterAutospacing="0"/>
              <w:jc w:val="center"/>
              <w:rPr>
                <w:color w:val="000000"/>
                <w:sz w:val="20"/>
                <w:szCs w:val="18"/>
              </w:rPr>
            </w:pPr>
          </w:p>
        </w:tc>
        <w:tc>
          <w:tcPr>
            <w:tcW w:w="851" w:type="dxa"/>
            <w:vMerge w:val="restart"/>
            <w:vAlign w:val="center"/>
          </w:tcPr>
          <w:p w14:paraId="09EDB0EA" w14:textId="77777777" w:rsidR="005330CF" w:rsidRPr="00853D17" w:rsidRDefault="005330CF" w:rsidP="00A03EEF">
            <w:pPr>
              <w:pStyle w:val="NormalWeb"/>
              <w:spacing w:before="0" w:beforeAutospacing="0" w:after="0" w:afterAutospacing="0"/>
              <w:ind w:hanging="23"/>
              <w:jc w:val="center"/>
              <w:rPr>
                <w:bCs/>
                <w:sz w:val="20"/>
                <w:szCs w:val="18"/>
              </w:rPr>
            </w:pPr>
            <w:r w:rsidRPr="00853D17">
              <w:rPr>
                <w:color w:val="000000"/>
                <w:sz w:val="20"/>
                <w:szCs w:val="18"/>
              </w:rPr>
              <w:t>KBM0</w:t>
            </w:r>
          </w:p>
        </w:tc>
        <w:tc>
          <w:tcPr>
            <w:tcW w:w="2267" w:type="dxa"/>
            <w:vMerge w:val="restart"/>
            <w:vAlign w:val="center"/>
          </w:tcPr>
          <w:p w14:paraId="7EA8B36E" w14:textId="77777777" w:rsidR="005330CF" w:rsidRPr="00853D17" w:rsidRDefault="005330CF" w:rsidP="005330CF">
            <w:pPr>
              <w:pStyle w:val="NormalWeb"/>
              <w:spacing w:before="0" w:beforeAutospacing="0" w:after="0" w:afterAutospacing="0"/>
              <w:rPr>
                <w:bCs/>
                <w:sz w:val="20"/>
                <w:szCs w:val="18"/>
              </w:rPr>
            </w:pPr>
            <w:r w:rsidRPr="00853D17">
              <w:rPr>
                <w:color w:val="000000"/>
                <w:sz w:val="20"/>
                <w:szCs w:val="18"/>
              </w:rPr>
              <w:t>Ķīmija un ķīmijas tehnoloģija</w:t>
            </w:r>
          </w:p>
        </w:tc>
        <w:tc>
          <w:tcPr>
            <w:tcW w:w="4381" w:type="dxa"/>
            <w:vAlign w:val="center"/>
          </w:tcPr>
          <w:p w14:paraId="28F88C88" w14:textId="6995B204" w:rsidR="005330CF" w:rsidRPr="00E73FA6" w:rsidRDefault="005330CF" w:rsidP="005330CF">
            <w:pPr>
              <w:pStyle w:val="NormalWeb"/>
              <w:spacing w:before="0" w:beforeAutospacing="0" w:after="0" w:afterAutospacing="0"/>
              <w:rPr>
                <w:bCs/>
                <w:sz w:val="20"/>
                <w:szCs w:val="18"/>
                <w:highlight w:val="yellow"/>
              </w:rPr>
            </w:pPr>
            <w:r w:rsidRPr="007722A4">
              <w:rPr>
                <w:bCs/>
                <w:sz w:val="20"/>
                <w:szCs w:val="18"/>
              </w:rPr>
              <w:t>ĶVT770 Ķīmiskie reaktori un reakciju inženierija</w:t>
            </w:r>
          </w:p>
        </w:tc>
        <w:tc>
          <w:tcPr>
            <w:tcW w:w="864" w:type="dxa"/>
            <w:vAlign w:val="center"/>
          </w:tcPr>
          <w:p w14:paraId="623403C3" w14:textId="658B76CB" w:rsidR="005330CF" w:rsidRPr="005330CF" w:rsidRDefault="005330CF" w:rsidP="00A03EEF">
            <w:pPr>
              <w:pStyle w:val="NormalWeb"/>
              <w:spacing w:before="0" w:beforeAutospacing="0" w:after="0" w:afterAutospacing="0"/>
              <w:jc w:val="center"/>
              <w:rPr>
                <w:bCs/>
                <w:sz w:val="20"/>
                <w:szCs w:val="18"/>
              </w:rPr>
            </w:pPr>
            <w:r w:rsidRPr="005330CF">
              <w:rPr>
                <w:bCs/>
                <w:sz w:val="20"/>
                <w:szCs w:val="18"/>
              </w:rPr>
              <w:t>3</w:t>
            </w:r>
          </w:p>
        </w:tc>
      </w:tr>
      <w:tr w:rsidR="005330CF" w:rsidRPr="00853D17" w14:paraId="5D88E6FA" w14:textId="77777777" w:rsidTr="00A03EEF">
        <w:trPr>
          <w:jc w:val="center"/>
        </w:trPr>
        <w:tc>
          <w:tcPr>
            <w:tcW w:w="1838" w:type="dxa"/>
            <w:vMerge/>
            <w:vAlign w:val="center"/>
          </w:tcPr>
          <w:p w14:paraId="6ACEF52C" w14:textId="77777777" w:rsidR="005330CF" w:rsidRPr="00853D17" w:rsidRDefault="005330CF" w:rsidP="00A03EEF">
            <w:pPr>
              <w:pStyle w:val="NormalWeb"/>
              <w:spacing w:before="0" w:beforeAutospacing="0" w:after="0" w:afterAutospacing="0"/>
              <w:jc w:val="center"/>
              <w:rPr>
                <w:color w:val="000000"/>
                <w:sz w:val="20"/>
                <w:szCs w:val="18"/>
              </w:rPr>
            </w:pPr>
          </w:p>
        </w:tc>
        <w:tc>
          <w:tcPr>
            <w:tcW w:w="851" w:type="dxa"/>
            <w:vMerge/>
            <w:vAlign w:val="center"/>
          </w:tcPr>
          <w:p w14:paraId="20A089FA" w14:textId="77777777" w:rsidR="005330CF" w:rsidRPr="00853D17" w:rsidRDefault="005330CF" w:rsidP="00A03EEF">
            <w:pPr>
              <w:pStyle w:val="NormalWeb"/>
              <w:spacing w:before="0" w:beforeAutospacing="0" w:after="0" w:afterAutospacing="0"/>
              <w:ind w:hanging="23"/>
              <w:jc w:val="center"/>
              <w:rPr>
                <w:color w:val="000000"/>
                <w:sz w:val="20"/>
                <w:szCs w:val="18"/>
              </w:rPr>
            </w:pPr>
          </w:p>
        </w:tc>
        <w:tc>
          <w:tcPr>
            <w:tcW w:w="2267" w:type="dxa"/>
            <w:vMerge/>
            <w:vAlign w:val="center"/>
          </w:tcPr>
          <w:p w14:paraId="49DA125D" w14:textId="77777777" w:rsidR="005330CF" w:rsidRPr="00853D17" w:rsidRDefault="005330CF" w:rsidP="005330CF">
            <w:pPr>
              <w:pStyle w:val="NormalWeb"/>
              <w:spacing w:before="0" w:beforeAutospacing="0" w:after="0" w:afterAutospacing="0"/>
              <w:rPr>
                <w:color w:val="000000"/>
                <w:sz w:val="20"/>
                <w:szCs w:val="18"/>
              </w:rPr>
            </w:pPr>
          </w:p>
        </w:tc>
        <w:tc>
          <w:tcPr>
            <w:tcW w:w="4381" w:type="dxa"/>
            <w:vAlign w:val="center"/>
          </w:tcPr>
          <w:p w14:paraId="4DFF4BC2" w14:textId="786CD816" w:rsidR="005330CF" w:rsidRPr="00E73FA6" w:rsidRDefault="005330CF" w:rsidP="005330CF">
            <w:pPr>
              <w:pStyle w:val="NormalWeb"/>
              <w:spacing w:before="0" w:beforeAutospacing="0" w:after="0" w:afterAutospacing="0"/>
              <w:rPr>
                <w:bCs/>
                <w:sz w:val="20"/>
                <w:szCs w:val="18"/>
                <w:highlight w:val="yellow"/>
              </w:rPr>
            </w:pPr>
            <w:r w:rsidRPr="007722A4">
              <w:rPr>
                <w:bCs/>
                <w:sz w:val="20"/>
                <w:szCs w:val="18"/>
              </w:rPr>
              <w:t>ĶVT771 Procesu automatizācija un modelēšana</w:t>
            </w:r>
          </w:p>
        </w:tc>
        <w:tc>
          <w:tcPr>
            <w:tcW w:w="864" w:type="dxa"/>
            <w:vAlign w:val="center"/>
          </w:tcPr>
          <w:p w14:paraId="560A2060" w14:textId="662B9378" w:rsidR="005330CF" w:rsidRPr="005330CF" w:rsidRDefault="005330CF" w:rsidP="00A03EEF">
            <w:pPr>
              <w:pStyle w:val="NormalWeb"/>
              <w:spacing w:before="0" w:beforeAutospacing="0" w:after="0" w:afterAutospacing="0"/>
              <w:jc w:val="center"/>
              <w:rPr>
                <w:bCs/>
                <w:sz w:val="20"/>
                <w:szCs w:val="18"/>
              </w:rPr>
            </w:pPr>
            <w:r w:rsidRPr="005330CF">
              <w:rPr>
                <w:bCs/>
                <w:sz w:val="20"/>
                <w:szCs w:val="18"/>
              </w:rPr>
              <w:t>4</w:t>
            </w:r>
          </w:p>
        </w:tc>
      </w:tr>
    </w:tbl>
    <w:p w14:paraId="51325357" w14:textId="32CB622F" w:rsidR="006E47A6" w:rsidRPr="001928EB" w:rsidRDefault="006E47A6" w:rsidP="00E73FA6">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1AB2B4A1" w14:textId="40522E84" w:rsidR="00421C1E" w:rsidRPr="00432582" w:rsidRDefault="00421C1E">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 xml:space="preserve">Mācībspēki atlases konkursā var piedalīties individuāli vai </w:t>
      </w:r>
      <w:r w:rsidR="00432582" w:rsidRPr="00432582">
        <w:rPr>
          <w:rFonts w:ascii="Times New Roman" w:eastAsia="Times New Roman" w:hAnsi="Times New Roman" w:cs="Times New Roman"/>
          <w:color w:val="000000"/>
          <w:sz w:val="24"/>
          <w:szCs w:val="24"/>
        </w:rPr>
        <w:t>divatā</w:t>
      </w:r>
      <w:r w:rsidR="001928EB" w:rsidRPr="00432582">
        <w:rPr>
          <w:rFonts w:ascii="Times New Roman" w:eastAsia="Times New Roman" w:hAnsi="Times New Roman" w:cs="Times New Roman"/>
          <w:color w:val="000000"/>
          <w:sz w:val="24"/>
          <w:szCs w:val="24"/>
        </w:rPr>
        <w:t xml:space="preserve"> (piemēram</w:t>
      </w:r>
      <w:r w:rsidR="00432582" w:rsidRPr="00432582">
        <w:rPr>
          <w:rFonts w:ascii="Times New Roman" w:eastAsia="Times New Roman" w:hAnsi="Times New Roman" w:cs="Times New Roman"/>
          <w:color w:val="000000"/>
          <w:sz w:val="24"/>
          <w:szCs w:val="24"/>
        </w:rPr>
        <w:t>,</w:t>
      </w:r>
      <w:r w:rsidR="001928EB" w:rsidRPr="00432582">
        <w:rPr>
          <w:rFonts w:ascii="Times New Roman" w:eastAsia="Times New Roman" w:hAnsi="Times New Roman" w:cs="Times New Roman"/>
          <w:color w:val="000000"/>
          <w:sz w:val="24"/>
          <w:szCs w:val="24"/>
        </w:rPr>
        <w:t xml:space="preserve"> studiju kursa atbildīgais mācībspēks kopā ar </w:t>
      </w:r>
      <w:r w:rsidR="00432582" w:rsidRPr="00432582">
        <w:rPr>
          <w:rFonts w:ascii="Times New Roman" w:eastAsia="Times New Roman" w:hAnsi="Times New Roman" w:cs="Times New Roman"/>
          <w:color w:val="000000"/>
          <w:sz w:val="24"/>
          <w:szCs w:val="24"/>
        </w:rPr>
        <w:t>studiju kursu īstenojošo mācībspēku, vai divi studiju kursu īstenojošie mācībspēki</w:t>
      </w:r>
      <w:r w:rsidR="00BF73FA">
        <w:rPr>
          <w:rFonts w:ascii="Times New Roman" w:eastAsia="Times New Roman" w:hAnsi="Times New Roman" w:cs="Times New Roman"/>
          <w:color w:val="000000"/>
          <w:sz w:val="24"/>
          <w:szCs w:val="24"/>
        </w:rPr>
        <w:t>, u.c.</w:t>
      </w:r>
      <w:r w:rsidR="001928EB" w:rsidRPr="00432582">
        <w:rPr>
          <w:rFonts w:ascii="Times New Roman" w:eastAsia="Times New Roman" w:hAnsi="Times New Roman" w:cs="Times New Roman"/>
          <w:color w:val="000000"/>
          <w:sz w:val="24"/>
          <w:szCs w:val="24"/>
        </w:rPr>
        <w:t>)</w:t>
      </w:r>
      <w:r w:rsidRPr="00432582">
        <w:rPr>
          <w:rFonts w:ascii="Times New Roman" w:eastAsia="Times New Roman" w:hAnsi="Times New Roman" w:cs="Times New Roman"/>
          <w:color w:val="000000"/>
          <w:sz w:val="24"/>
          <w:szCs w:val="24"/>
        </w:rPr>
        <w:t>.</w:t>
      </w:r>
    </w:p>
    <w:p w14:paraId="12B42187" w14:textId="5FD95FEF"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Paziņojums par Mācībspēku atlases konkursu</w:t>
      </w:r>
      <w:r>
        <w:rPr>
          <w:rFonts w:ascii="Times New Roman" w:eastAsia="Times New Roman" w:hAnsi="Times New Roman" w:cs="Times New Roman"/>
          <w:color w:val="000000"/>
          <w:sz w:val="24"/>
          <w:szCs w:val="24"/>
        </w:rPr>
        <w:t xml:space="preserve"> tiek publicēts </w:t>
      </w:r>
      <w:r w:rsidR="00BF73FA" w:rsidRPr="00660368">
        <w:rPr>
          <w:rFonts w:ascii="Times New Roman" w:eastAsia="Times New Roman" w:hAnsi="Times New Roman" w:cs="Times New Roman"/>
          <w:color w:val="000000"/>
          <w:sz w:val="24"/>
          <w:szCs w:val="24"/>
        </w:rPr>
        <w:t xml:space="preserve">RTU </w:t>
      </w:r>
      <w:r w:rsidR="00BF73FA" w:rsidRPr="00660368">
        <w:rPr>
          <w:rFonts w:ascii="Times New Roman" w:eastAsia="Times New Roman" w:hAnsi="Times New Roman" w:cs="Times New Roman"/>
          <w:sz w:val="24"/>
          <w:szCs w:val="24"/>
        </w:rPr>
        <w:t>iekšējā portālā ORTUS</w:t>
      </w:r>
      <w:r>
        <w:rPr>
          <w:rFonts w:ascii="Times New Roman" w:eastAsia="Times New Roman" w:hAnsi="Times New Roman" w:cs="Times New Roman"/>
          <w:color w:val="000000"/>
          <w:sz w:val="24"/>
          <w:szCs w:val="24"/>
        </w:rPr>
        <w:t>.</w:t>
      </w:r>
    </w:p>
    <w:p w14:paraId="2376E141" w14:textId="64D55AD2"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Kontaktpersona jautājumiem par Projekta ieviešanu, konkursu un tā nolikumu ir </w:t>
      </w:r>
      <w:r w:rsidR="00D84A14">
        <w:rPr>
          <w:rFonts w:ascii="Times New Roman" w:eastAsia="Times New Roman" w:hAnsi="Times New Roman" w:cs="Times New Roman"/>
          <w:color w:val="000000"/>
          <w:sz w:val="24"/>
          <w:szCs w:val="24"/>
        </w:rPr>
        <w:t xml:space="preserve">Alla </w:t>
      </w:r>
      <w:proofErr w:type="spellStart"/>
      <w:r w:rsidR="00D84A14">
        <w:rPr>
          <w:rFonts w:ascii="Times New Roman" w:eastAsia="Times New Roman" w:hAnsi="Times New Roman" w:cs="Times New Roman"/>
          <w:color w:val="000000"/>
          <w:sz w:val="24"/>
          <w:szCs w:val="24"/>
        </w:rPr>
        <w:t>Anohina-Naumeca</w:t>
      </w:r>
      <w:proofErr w:type="spellEnd"/>
      <w:r w:rsidR="00D84A14">
        <w:rPr>
          <w:rFonts w:ascii="Times New Roman" w:eastAsia="Times New Roman" w:hAnsi="Times New Roman" w:cs="Times New Roman"/>
          <w:color w:val="000000"/>
          <w:sz w:val="24"/>
          <w:szCs w:val="24"/>
        </w:rPr>
        <w:t xml:space="preserve"> (alla.anohina-naumeca@rtu.lv).</w:t>
      </w:r>
    </w:p>
    <w:p w14:paraId="22AC50B5" w14:textId="77777777" w:rsidR="006E47A6" w:rsidRDefault="006E47A6">
      <w:pPr>
        <w:spacing w:after="0"/>
        <w:ind w:left="426" w:hanging="426"/>
        <w:rPr>
          <w:rFonts w:ascii="Times New Roman" w:eastAsia="Times New Roman" w:hAnsi="Times New Roman" w:cs="Times New Roman"/>
          <w:sz w:val="24"/>
          <w:szCs w:val="24"/>
        </w:rPr>
      </w:pPr>
    </w:p>
    <w:p w14:paraId="47A0FE47" w14:textId="77777777" w:rsidR="006E47A6" w:rsidRDefault="006E7011">
      <w:pPr>
        <w:numPr>
          <w:ilvl w:val="0"/>
          <w:numId w:val="2"/>
        </w:numPr>
        <w:pBdr>
          <w:top w:val="nil"/>
          <w:left w:val="nil"/>
          <w:bottom w:val="nil"/>
          <w:right w:val="nil"/>
          <w:between w:val="nil"/>
        </w:pBdr>
        <w:spacing w:after="0"/>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Prasības un pienākumi mācībspēkiem dalībai projektā</w:t>
      </w:r>
    </w:p>
    <w:p w14:paraId="62C59AE7" w14:textId="67895299" w:rsidR="001928EB" w:rsidRDefault="006E7011" w:rsidP="001928EB">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1928EB">
        <w:rPr>
          <w:rFonts w:ascii="Times New Roman" w:eastAsia="Times New Roman" w:hAnsi="Times New Roman" w:cs="Times New Roman"/>
          <w:color w:val="000000"/>
          <w:sz w:val="24"/>
          <w:szCs w:val="24"/>
        </w:rPr>
        <w:t xml:space="preserve">Piedalīties atlases konkursā </w:t>
      </w:r>
      <w:r w:rsidRPr="001928EB">
        <w:rPr>
          <w:rFonts w:ascii="Times New Roman" w:eastAsia="Times New Roman" w:hAnsi="Times New Roman" w:cs="Times New Roman"/>
          <w:color w:val="000000"/>
          <w:sz w:val="24"/>
          <w:szCs w:val="24"/>
        </w:rPr>
        <w:t>var Mācībspēks, kas ir RTU akadēmiskajā amatā ievēlēts darbinieks</w:t>
      </w:r>
      <w:r w:rsidR="00432582">
        <w:rPr>
          <w:rFonts w:ascii="Times New Roman" w:eastAsia="Times New Roman" w:hAnsi="Times New Roman" w:cs="Times New Roman"/>
          <w:color w:val="000000"/>
          <w:sz w:val="24"/>
          <w:szCs w:val="24"/>
        </w:rPr>
        <w:t>,</w:t>
      </w:r>
      <w:r w:rsidRPr="001928EB">
        <w:rPr>
          <w:rFonts w:ascii="Times New Roman" w:eastAsia="Times New Roman" w:hAnsi="Times New Roman" w:cs="Times New Roman"/>
          <w:color w:val="000000"/>
          <w:sz w:val="24"/>
          <w:szCs w:val="24"/>
        </w:rPr>
        <w:t xml:space="preserve"> vai persona, kas iepriekšējo piecu gadu laikā bijusī nodarbināta akadēmiskā amatā kādā no akreditētām ārvalsts augstskolām</w:t>
      </w:r>
      <w:r w:rsidR="001928EB">
        <w:rPr>
          <w:rFonts w:ascii="Times New Roman" w:eastAsia="Times New Roman" w:hAnsi="Times New Roman" w:cs="Times New Roman"/>
          <w:color w:val="000000"/>
          <w:sz w:val="24"/>
          <w:szCs w:val="24"/>
        </w:rPr>
        <w:t>.</w:t>
      </w:r>
    </w:p>
    <w:p w14:paraId="2215DCF4" w14:textId="1D141C5A" w:rsidR="006E47A6" w:rsidRPr="00F52646" w:rsidRDefault="001928EB" w:rsidP="001928EB">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F52646">
        <w:rPr>
          <w:rFonts w:ascii="Times New Roman" w:eastAsia="Times New Roman" w:hAnsi="Times New Roman" w:cs="Times New Roman"/>
          <w:color w:val="000000"/>
          <w:sz w:val="24"/>
          <w:szCs w:val="24"/>
        </w:rPr>
        <w:t>Piesakoties studiju kursa individuālajai izstrādei, Mācībspēkam</w:t>
      </w:r>
      <w:r w:rsidR="00432582" w:rsidRPr="00F52646">
        <w:rPr>
          <w:rFonts w:ascii="Times New Roman" w:eastAsia="Times New Roman" w:hAnsi="Times New Roman" w:cs="Times New Roman"/>
          <w:color w:val="000000"/>
          <w:sz w:val="24"/>
          <w:szCs w:val="24"/>
        </w:rPr>
        <w:t xml:space="preserve"> ir</w:t>
      </w:r>
      <w:r w:rsidRPr="00F52646">
        <w:rPr>
          <w:rFonts w:ascii="Times New Roman" w:eastAsia="Times New Roman" w:hAnsi="Times New Roman" w:cs="Times New Roman"/>
          <w:color w:val="000000"/>
          <w:sz w:val="24"/>
          <w:szCs w:val="24"/>
        </w:rPr>
        <w:t xml:space="preserve"> jāspēj </w:t>
      </w:r>
      <w:bookmarkStart w:id="1" w:name="_Hlk126143130"/>
      <w:r w:rsidRPr="00F52646">
        <w:rPr>
          <w:rFonts w:ascii="Times New Roman" w:eastAsia="Times New Roman" w:hAnsi="Times New Roman" w:cs="Times New Roman"/>
          <w:color w:val="000000"/>
          <w:sz w:val="24"/>
          <w:szCs w:val="24"/>
        </w:rPr>
        <w:t>piedalīties Projekta īstenošanā ar slodzi, kas nav mazāka par 0.3</w:t>
      </w:r>
      <w:r w:rsidR="00F52646" w:rsidRPr="00F52646">
        <w:rPr>
          <w:rFonts w:ascii="Times New Roman" w:eastAsia="Times New Roman" w:hAnsi="Times New Roman" w:cs="Times New Roman"/>
          <w:color w:val="000000"/>
          <w:sz w:val="24"/>
          <w:szCs w:val="24"/>
        </w:rPr>
        <w:t xml:space="preserve"> un nav lielākā par 0.5</w:t>
      </w:r>
      <w:r w:rsidRPr="00F52646">
        <w:rPr>
          <w:rFonts w:ascii="Times New Roman" w:eastAsia="Times New Roman" w:hAnsi="Times New Roman" w:cs="Times New Roman"/>
          <w:color w:val="000000"/>
          <w:sz w:val="24"/>
          <w:szCs w:val="24"/>
        </w:rPr>
        <w:t xml:space="preserve">. Piesakoties </w:t>
      </w:r>
      <w:r w:rsidR="00432582" w:rsidRPr="00F52646">
        <w:rPr>
          <w:rFonts w:ascii="Times New Roman" w:eastAsia="Times New Roman" w:hAnsi="Times New Roman" w:cs="Times New Roman"/>
          <w:color w:val="000000"/>
          <w:sz w:val="24"/>
          <w:szCs w:val="24"/>
        </w:rPr>
        <w:t>divatā</w:t>
      </w:r>
      <w:r w:rsidRPr="00F52646">
        <w:rPr>
          <w:rFonts w:ascii="Times New Roman" w:eastAsia="Times New Roman" w:hAnsi="Times New Roman" w:cs="Times New Roman"/>
          <w:color w:val="000000"/>
          <w:sz w:val="24"/>
          <w:szCs w:val="24"/>
        </w:rPr>
        <w:t xml:space="preserve">, </w:t>
      </w:r>
      <w:r w:rsidR="003D630E" w:rsidRPr="00F52646">
        <w:rPr>
          <w:rFonts w:ascii="Times New Roman" w:eastAsia="Times New Roman" w:hAnsi="Times New Roman" w:cs="Times New Roman"/>
          <w:color w:val="000000"/>
          <w:sz w:val="24"/>
          <w:szCs w:val="24"/>
        </w:rPr>
        <w:t>Mācībspēkiem ir jāspēj piedalīties Projektā ar</w:t>
      </w:r>
      <w:r w:rsidR="00432582" w:rsidRPr="00F52646">
        <w:rPr>
          <w:rFonts w:ascii="Times New Roman" w:eastAsia="Times New Roman" w:hAnsi="Times New Roman" w:cs="Times New Roman"/>
          <w:color w:val="000000"/>
          <w:sz w:val="24"/>
          <w:szCs w:val="24"/>
        </w:rPr>
        <w:t xml:space="preserve"> kopēj</w:t>
      </w:r>
      <w:r w:rsidR="003D630E" w:rsidRPr="00F52646">
        <w:rPr>
          <w:rFonts w:ascii="Times New Roman" w:eastAsia="Times New Roman" w:hAnsi="Times New Roman" w:cs="Times New Roman"/>
          <w:color w:val="000000"/>
          <w:sz w:val="24"/>
          <w:szCs w:val="24"/>
        </w:rPr>
        <w:t>o</w:t>
      </w:r>
      <w:r w:rsidR="00432582" w:rsidRPr="00F52646">
        <w:rPr>
          <w:rFonts w:ascii="Times New Roman" w:eastAsia="Times New Roman" w:hAnsi="Times New Roman" w:cs="Times New Roman"/>
          <w:color w:val="000000"/>
          <w:sz w:val="24"/>
          <w:szCs w:val="24"/>
        </w:rPr>
        <w:t xml:space="preserve"> brīv</w:t>
      </w:r>
      <w:r w:rsidR="003D630E" w:rsidRPr="00F52646">
        <w:rPr>
          <w:rFonts w:ascii="Times New Roman" w:eastAsia="Times New Roman" w:hAnsi="Times New Roman" w:cs="Times New Roman"/>
          <w:color w:val="000000"/>
          <w:sz w:val="24"/>
          <w:szCs w:val="24"/>
        </w:rPr>
        <w:t>o</w:t>
      </w:r>
      <w:r w:rsidR="00432582" w:rsidRPr="00F52646">
        <w:rPr>
          <w:rFonts w:ascii="Times New Roman" w:eastAsia="Times New Roman" w:hAnsi="Times New Roman" w:cs="Times New Roman"/>
          <w:color w:val="000000"/>
          <w:sz w:val="24"/>
          <w:szCs w:val="24"/>
        </w:rPr>
        <w:t xml:space="preserve"> </w:t>
      </w:r>
      <w:r w:rsidRPr="00F52646">
        <w:rPr>
          <w:rFonts w:ascii="Times New Roman" w:eastAsia="Times New Roman" w:hAnsi="Times New Roman" w:cs="Times New Roman"/>
          <w:color w:val="000000"/>
          <w:sz w:val="24"/>
          <w:szCs w:val="24"/>
        </w:rPr>
        <w:t>slodz</w:t>
      </w:r>
      <w:r w:rsidR="00432582" w:rsidRPr="00F52646">
        <w:rPr>
          <w:rFonts w:ascii="Times New Roman" w:eastAsia="Times New Roman" w:hAnsi="Times New Roman" w:cs="Times New Roman"/>
          <w:color w:val="000000"/>
          <w:sz w:val="24"/>
          <w:szCs w:val="24"/>
        </w:rPr>
        <w:t>i</w:t>
      </w:r>
      <w:r w:rsidR="003D630E" w:rsidRPr="00F52646">
        <w:rPr>
          <w:rFonts w:ascii="Times New Roman" w:eastAsia="Times New Roman" w:hAnsi="Times New Roman" w:cs="Times New Roman"/>
          <w:color w:val="000000"/>
          <w:sz w:val="24"/>
          <w:szCs w:val="24"/>
        </w:rPr>
        <w:t>, kas nav mazāka par 0.</w:t>
      </w:r>
      <w:r w:rsidR="00F52646" w:rsidRPr="00F52646">
        <w:rPr>
          <w:rFonts w:ascii="Times New Roman" w:eastAsia="Times New Roman" w:hAnsi="Times New Roman" w:cs="Times New Roman"/>
          <w:color w:val="000000"/>
          <w:sz w:val="24"/>
          <w:szCs w:val="24"/>
        </w:rPr>
        <w:t>3</w:t>
      </w:r>
      <w:r w:rsidR="003D630E" w:rsidRPr="00F52646">
        <w:rPr>
          <w:rFonts w:ascii="Times New Roman" w:eastAsia="Times New Roman" w:hAnsi="Times New Roman" w:cs="Times New Roman"/>
          <w:color w:val="000000"/>
          <w:sz w:val="24"/>
          <w:szCs w:val="24"/>
        </w:rPr>
        <w:t xml:space="preserve"> un nav lielākā par 0.5</w:t>
      </w:r>
      <w:r w:rsidRPr="00F52646">
        <w:rPr>
          <w:rFonts w:ascii="Times New Roman" w:eastAsia="Times New Roman" w:hAnsi="Times New Roman" w:cs="Times New Roman"/>
          <w:color w:val="000000"/>
          <w:sz w:val="24"/>
          <w:szCs w:val="24"/>
        </w:rPr>
        <w:t xml:space="preserve">. </w:t>
      </w:r>
    </w:p>
    <w:bookmarkEnd w:id="1"/>
    <w:p w14:paraId="3BCA4313" w14:textId="2ECC8A28" w:rsidR="006E47A6" w:rsidRPr="00432582"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 xml:space="preserve">Mācībspēku iesaiste Projektā tiek plānota </w:t>
      </w:r>
      <w:r w:rsidR="00D84A14" w:rsidRPr="00432582">
        <w:rPr>
          <w:rFonts w:ascii="Times New Roman" w:eastAsia="Times New Roman" w:hAnsi="Times New Roman" w:cs="Times New Roman"/>
          <w:color w:val="000000"/>
          <w:sz w:val="24"/>
          <w:szCs w:val="24"/>
        </w:rPr>
        <w:t>ne vairāk kā</w:t>
      </w:r>
      <w:r w:rsidRPr="00432582">
        <w:rPr>
          <w:rFonts w:ascii="Times New Roman" w:eastAsia="Times New Roman" w:hAnsi="Times New Roman" w:cs="Times New Roman"/>
          <w:color w:val="000000"/>
          <w:sz w:val="24"/>
          <w:szCs w:val="24"/>
        </w:rPr>
        <w:t xml:space="preserve"> </w:t>
      </w:r>
      <w:r w:rsidR="00BF73FA">
        <w:rPr>
          <w:rFonts w:ascii="Times New Roman" w:eastAsia="Times New Roman" w:hAnsi="Times New Roman" w:cs="Times New Roman"/>
          <w:color w:val="000000"/>
          <w:sz w:val="24"/>
          <w:szCs w:val="24"/>
        </w:rPr>
        <w:t>39</w:t>
      </w:r>
      <w:r w:rsidRPr="00432582">
        <w:rPr>
          <w:rFonts w:ascii="Times New Roman" w:eastAsia="Times New Roman" w:hAnsi="Times New Roman" w:cs="Times New Roman"/>
          <w:color w:val="000000"/>
          <w:sz w:val="24"/>
          <w:szCs w:val="24"/>
        </w:rPr>
        <w:t xml:space="preserve"> mēnešus, paredzot šādus pienākumus:</w:t>
      </w:r>
    </w:p>
    <w:p w14:paraId="597BFFD9" w14:textId="5CB7ADA4" w:rsidR="006E47A6" w:rsidRPr="00432582" w:rsidRDefault="006E7011">
      <w:pPr>
        <w:numPr>
          <w:ilvl w:val="2"/>
          <w:numId w:val="2"/>
        </w:numPr>
        <w:pBdr>
          <w:top w:val="nil"/>
          <w:left w:val="nil"/>
          <w:bottom w:val="nil"/>
          <w:right w:val="nil"/>
          <w:between w:val="nil"/>
        </w:pBdr>
        <w:spacing w:after="0"/>
        <w:ind w:left="993" w:hanging="709"/>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dalība mācībās, kas tiks organizētas Projekta ietvaros;</w:t>
      </w:r>
    </w:p>
    <w:p w14:paraId="051320C5" w14:textId="3EDF7B2C" w:rsidR="006E47A6" w:rsidRPr="00432582" w:rsidRDefault="006E7011">
      <w:pPr>
        <w:numPr>
          <w:ilvl w:val="2"/>
          <w:numId w:val="2"/>
        </w:numPr>
        <w:pBdr>
          <w:top w:val="nil"/>
          <w:left w:val="nil"/>
          <w:bottom w:val="nil"/>
          <w:right w:val="nil"/>
          <w:between w:val="nil"/>
        </w:pBdr>
        <w:spacing w:after="0"/>
        <w:ind w:left="993" w:hanging="709"/>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 xml:space="preserve">izvēlētā </w:t>
      </w:r>
      <w:r w:rsidR="00421C1E" w:rsidRPr="00432582">
        <w:rPr>
          <w:rFonts w:ascii="Times New Roman" w:eastAsia="Times New Roman" w:hAnsi="Times New Roman" w:cs="Times New Roman"/>
          <w:color w:val="000000"/>
          <w:sz w:val="24"/>
          <w:szCs w:val="24"/>
        </w:rPr>
        <w:t xml:space="preserve">studiju </w:t>
      </w:r>
      <w:r w:rsidRPr="00432582">
        <w:rPr>
          <w:rFonts w:ascii="Times New Roman" w:eastAsia="Times New Roman" w:hAnsi="Times New Roman" w:cs="Times New Roman"/>
          <w:color w:val="000000"/>
          <w:sz w:val="24"/>
          <w:szCs w:val="24"/>
        </w:rPr>
        <w:t>moduļa</w:t>
      </w:r>
      <w:r w:rsidR="00421C1E" w:rsidRPr="00432582">
        <w:rPr>
          <w:rFonts w:ascii="Times New Roman" w:eastAsia="Times New Roman" w:hAnsi="Times New Roman" w:cs="Times New Roman"/>
          <w:color w:val="000000"/>
          <w:sz w:val="24"/>
          <w:szCs w:val="24"/>
        </w:rPr>
        <w:t>/kursa</w:t>
      </w:r>
      <w:r w:rsidRPr="00432582">
        <w:rPr>
          <w:rFonts w:ascii="Times New Roman" w:eastAsia="Times New Roman" w:hAnsi="Times New Roman" w:cs="Times New Roman"/>
          <w:color w:val="000000"/>
          <w:sz w:val="24"/>
          <w:szCs w:val="24"/>
        </w:rPr>
        <w:t xml:space="preserve"> (sk. 1.5.punktu) izstrāde</w:t>
      </w:r>
      <w:r w:rsidR="003D630E">
        <w:rPr>
          <w:rFonts w:ascii="Times New Roman" w:eastAsia="Times New Roman" w:hAnsi="Times New Roman" w:cs="Times New Roman"/>
          <w:color w:val="000000"/>
          <w:sz w:val="24"/>
          <w:szCs w:val="24"/>
        </w:rPr>
        <w:t>/</w:t>
      </w:r>
      <w:r w:rsidR="001928EB" w:rsidRPr="00432582">
        <w:rPr>
          <w:rFonts w:ascii="Times New Roman" w:eastAsia="Times New Roman" w:hAnsi="Times New Roman" w:cs="Times New Roman"/>
          <w:color w:val="000000"/>
          <w:sz w:val="24"/>
          <w:szCs w:val="24"/>
        </w:rPr>
        <w:t>pilnveidošana</w:t>
      </w:r>
      <w:r w:rsidRPr="00432582">
        <w:rPr>
          <w:rFonts w:ascii="Times New Roman" w:eastAsia="Times New Roman" w:hAnsi="Times New Roman" w:cs="Times New Roman"/>
          <w:color w:val="000000"/>
          <w:sz w:val="24"/>
          <w:szCs w:val="24"/>
        </w:rPr>
        <w:t xml:space="preserve"> ciešā sadarbībā ar Projekta ietvaros atlasītās studiju programmas direktoru; </w:t>
      </w:r>
    </w:p>
    <w:p w14:paraId="49DCDF7C" w14:textId="0A338682" w:rsidR="006E47A6" w:rsidRPr="00432582" w:rsidRDefault="006E7011">
      <w:pPr>
        <w:numPr>
          <w:ilvl w:val="2"/>
          <w:numId w:val="2"/>
        </w:numPr>
        <w:pBdr>
          <w:top w:val="nil"/>
          <w:left w:val="nil"/>
          <w:bottom w:val="nil"/>
          <w:right w:val="nil"/>
          <w:between w:val="nil"/>
        </w:pBdr>
        <w:spacing w:after="0"/>
        <w:ind w:left="993" w:hanging="709"/>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izstrādātā</w:t>
      </w:r>
      <w:r w:rsidR="001928EB" w:rsidRPr="00432582">
        <w:rPr>
          <w:rFonts w:ascii="Times New Roman" w:eastAsia="Times New Roman" w:hAnsi="Times New Roman" w:cs="Times New Roman"/>
          <w:color w:val="000000"/>
          <w:sz w:val="24"/>
          <w:szCs w:val="24"/>
        </w:rPr>
        <w:t>/pilnveidotā</w:t>
      </w:r>
      <w:r w:rsidRPr="00432582">
        <w:rPr>
          <w:rFonts w:ascii="Times New Roman" w:eastAsia="Times New Roman" w:hAnsi="Times New Roman" w:cs="Times New Roman"/>
          <w:color w:val="000000"/>
          <w:sz w:val="24"/>
          <w:szCs w:val="24"/>
        </w:rPr>
        <w:t xml:space="preserve"> studiju moduļa</w:t>
      </w:r>
      <w:r w:rsidR="00421C1E" w:rsidRPr="00432582">
        <w:rPr>
          <w:rFonts w:ascii="Times New Roman" w:eastAsia="Times New Roman" w:hAnsi="Times New Roman" w:cs="Times New Roman"/>
          <w:color w:val="000000"/>
          <w:sz w:val="24"/>
          <w:szCs w:val="24"/>
        </w:rPr>
        <w:t>/kursa</w:t>
      </w:r>
      <w:r w:rsidRPr="00432582">
        <w:rPr>
          <w:rFonts w:ascii="Times New Roman" w:eastAsia="Times New Roman" w:hAnsi="Times New Roman" w:cs="Times New Roman"/>
          <w:color w:val="000000"/>
          <w:sz w:val="24"/>
          <w:szCs w:val="24"/>
        </w:rPr>
        <w:t xml:space="preserve"> un tā kvalitātes atbilstības nodrošināšana Projekta prasībām, studiju programmas vajadzībām un prasībām;</w:t>
      </w:r>
    </w:p>
    <w:p w14:paraId="3976818C" w14:textId="781D9D10" w:rsidR="006E47A6" w:rsidRPr="00432582" w:rsidRDefault="006E7011">
      <w:pPr>
        <w:numPr>
          <w:ilvl w:val="2"/>
          <w:numId w:val="2"/>
        </w:numPr>
        <w:pBdr>
          <w:top w:val="nil"/>
          <w:left w:val="nil"/>
          <w:bottom w:val="nil"/>
          <w:right w:val="nil"/>
          <w:between w:val="nil"/>
        </w:pBdr>
        <w:spacing w:after="0"/>
        <w:ind w:left="993" w:hanging="709"/>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izstrādātā</w:t>
      </w:r>
      <w:r w:rsidR="001928EB" w:rsidRPr="00432582">
        <w:rPr>
          <w:rFonts w:ascii="Times New Roman" w:eastAsia="Times New Roman" w:hAnsi="Times New Roman" w:cs="Times New Roman"/>
          <w:color w:val="000000"/>
          <w:sz w:val="24"/>
          <w:szCs w:val="24"/>
        </w:rPr>
        <w:t>/pilnveidotā</w:t>
      </w:r>
      <w:r w:rsidRPr="00432582">
        <w:rPr>
          <w:rFonts w:ascii="Times New Roman" w:eastAsia="Times New Roman" w:hAnsi="Times New Roman" w:cs="Times New Roman"/>
          <w:color w:val="000000"/>
          <w:sz w:val="24"/>
          <w:szCs w:val="24"/>
        </w:rPr>
        <w:t xml:space="preserve"> studi</w:t>
      </w:r>
      <w:r w:rsidRPr="00432582">
        <w:rPr>
          <w:rFonts w:ascii="Times New Roman" w:eastAsia="Times New Roman" w:hAnsi="Times New Roman" w:cs="Times New Roman"/>
          <w:color w:val="000000"/>
          <w:sz w:val="24"/>
          <w:szCs w:val="24"/>
        </w:rPr>
        <w:t>ju moduļa</w:t>
      </w:r>
      <w:r w:rsidR="00421C1E" w:rsidRPr="00432582">
        <w:rPr>
          <w:rFonts w:ascii="Times New Roman" w:eastAsia="Times New Roman" w:hAnsi="Times New Roman" w:cs="Times New Roman"/>
          <w:color w:val="000000"/>
          <w:sz w:val="24"/>
          <w:szCs w:val="24"/>
        </w:rPr>
        <w:t>/kursa</w:t>
      </w:r>
      <w:r w:rsidRPr="00432582">
        <w:rPr>
          <w:rFonts w:ascii="Times New Roman" w:eastAsia="Times New Roman" w:hAnsi="Times New Roman" w:cs="Times New Roman"/>
          <w:color w:val="000000"/>
          <w:sz w:val="24"/>
          <w:szCs w:val="24"/>
        </w:rPr>
        <w:t xml:space="preserve"> integrācija Projekta ietvaros atlasītajā studiju programmā, aprobācija, to realizējot studējošiem un/vai industrijas pārstāvjiem, un pilnveidošana tā realizācijas laikā līdz Projekta beigām;</w:t>
      </w:r>
    </w:p>
    <w:p w14:paraId="1254A81C" w14:textId="4BCAB264" w:rsidR="006E47A6" w:rsidRPr="00432582" w:rsidRDefault="006E7011">
      <w:pPr>
        <w:numPr>
          <w:ilvl w:val="2"/>
          <w:numId w:val="2"/>
        </w:numPr>
        <w:pBdr>
          <w:top w:val="nil"/>
          <w:left w:val="nil"/>
          <w:bottom w:val="nil"/>
          <w:right w:val="nil"/>
          <w:between w:val="nil"/>
        </w:pBdr>
        <w:spacing w:after="0"/>
        <w:ind w:left="993" w:hanging="709"/>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aktīva dalība studiju moduļu</w:t>
      </w:r>
      <w:r w:rsidR="00421C1E" w:rsidRPr="00432582">
        <w:rPr>
          <w:rFonts w:ascii="Times New Roman" w:eastAsia="Times New Roman" w:hAnsi="Times New Roman" w:cs="Times New Roman"/>
          <w:color w:val="000000"/>
          <w:sz w:val="24"/>
          <w:szCs w:val="24"/>
        </w:rPr>
        <w:t>/kursu</w:t>
      </w:r>
      <w:r w:rsidRPr="00432582">
        <w:rPr>
          <w:rFonts w:ascii="Times New Roman" w:eastAsia="Times New Roman" w:hAnsi="Times New Roman" w:cs="Times New Roman"/>
          <w:color w:val="000000"/>
          <w:sz w:val="24"/>
          <w:szCs w:val="24"/>
        </w:rPr>
        <w:t xml:space="preserve"> izstrādes</w:t>
      </w:r>
      <w:r w:rsidR="001928EB" w:rsidRPr="00432582">
        <w:rPr>
          <w:rFonts w:ascii="Times New Roman" w:eastAsia="Times New Roman" w:hAnsi="Times New Roman" w:cs="Times New Roman"/>
          <w:color w:val="000000"/>
          <w:sz w:val="24"/>
          <w:szCs w:val="24"/>
        </w:rPr>
        <w:t>/pilnveidošanas</w:t>
      </w:r>
      <w:r w:rsidRPr="00432582">
        <w:rPr>
          <w:rFonts w:ascii="Times New Roman" w:eastAsia="Times New Roman" w:hAnsi="Times New Roman" w:cs="Times New Roman"/>
          <w:color w:val="000000"/>
          <w:sz w:val="24"/>
          <w:szCs w:val="24"/>
        </w:rPr>
        <w:t xml:space="preserve"> progresa novērtēšanas un pieredzes dalīšanās pasākumos;</w:t>
      </w:r>
    </w:p>
    <w:p w14:paraId="54C20240" w14:textId="0B737573" w:rsidR="006E47A6" w:rsidRPr="00432582" w:rsidRDefault="006E7011">
      <w:pPr>
        <w:numPr>
          <w:ilvl w:val="2"/>
          <w:numId w:val="2"/>
        </w:numPr>
        <w:pBdr>
          <w:top w:val="nil"/>
          <w:left w:val="nil"/>
          <w:bottom w:val="nil"/>
          <w:right w:val="nil"/>
          <w:between w:val="nil"/>
        </w:pBdr>
        <w:spacing w:after="0"/>
        <w:ind w:left="993" w:hanging="709"/>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dalība komandējumu braucienos, kas ir vērsti uz studiju moduļ</w:t>
      </w:r>
      <w:r w:rsidR="003D630E">
        <w:rPr>
          <w:rFonts w:ascii="Times New Roman" w:eastAsia="Times New Roman" w:hAnsi="Times New Roman" w:cs="Times New Roman"/>
          <w:color w:val="000000"/>
          <w:sz w:val="24"/>
          <w:szCs w:val="24"/>
        </w:rPr>
        <w:t>a</w:t>
      </w:r>
      <w:r w:rsidR="00421C1E" w:rsidRPr="00432582">
        <w:rPr>
          <w:rFonts w:ascii="Times New Roman" w:eastAsia="Times New Roman" w:hAnsi="Times New Roman" w:cs="Times New Roman"/>
          <w:color w:val="000000"/>
          <w:sz w:val="24"/>
          <w:szCs w:val="24"/>
        </w:rPr>
        <w:t>/kurs</w:t>
      </w:r>
      <w:r w:rsidR="003D630E">
        <w:rPr>
          <w:rFonts w:ascii="Times New Roman" w:eastAsia="Times New Roman" w:hAnsi="Times New Roman" w:cs="Times New Roman"/>
          <w:color w:val="000000"/>
          <w:sz w:val="24"/>
          <w:szCs w:val="24"/>
        </w:rPr>
        <w:t>a</w:t>
      </w:r>
      <w:r w:rsidRPr="00432582">
        <w:rPr>
          <w:rFonts w:ascii="Times New Roman" w:eastAsia="Times New Roman" w:hAnsi="Times New Roman" w:cs="Times New Roman"/>
          <w:color w:val="000000"/>
          <w:sz w:val="24"/>
          <w:szCs w:val="24"/>
        </w:rPr>
        <w:t xml:space="preserve"> izstrādes un </w:t>
      </w:r>
      <w:r w:rsidR="003D630E">
        <w:rPr>
          <w:rFonts w:ascii="Times New Roman" w:eastAsia="Times New Roman" w:hAnsi="Times New Roman" w:cs="Times New Roman"/>
          <w:color w:val="000000"/>
          <w:sz w:val="24"/>
          <w:szCs w:val="24"/>
        </w:rPr>
        <w:t>īstenošanas</w:t>
      </w:r>
      <w:r w:rsidRPr="00432582">
        <w:rPr>
          <w:rFonts w:ascii="Times New Roman" w:eastAsia="Times New Roman" w:hAnsi="Times New Roman" w:cs="Times New Roman"/>
          <w:color w:val="000000"/>
          <w:sz w:val="24"/>
          <w:szCs w:val="24"/>
        </w:rPr>
        <w:t xml:space="preserve"> kvalitātes uzlabošanu.</w:t>
      </w:r>
    </w:p>
    <w:p w14:paraId="31DD476A" w14:textId="505D69BF" w:rsidR="006E47A6" w:rsidRPr="00432582"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Konkursā atlasītie Mācībspēki tiks pieņemti darbā uz darba līguma pamata</w:t>
      </w:r>
      <w:r w:rsidRPr="00432582">
        <w:rPr>
          <w:rFonts w:ascii="Times New Roman" w:eastAsia="Times New Roman" w:hAnsi="Times New Roman" w:cs="Times New Roman"/>
          <w:color w:val="000000"/>
          <w:sz w:val="24"/>
          <w:szCs w:val="24"/>
        </w:rPr>
        <w:t xml:space="preserve">, nodrošinot Mācībspēkiem atalgojumu par dalību Projektā, </w:t>
      </w:r>
      <w:r w:rsidR="003D630E">
        <w:rPr>
          <w:rFonts w:ascii="Times New Roman" w:eastAsia="Times New Roman" w:hAnsi="Times New Roman" w:cs="Times New Roman"/>
          <w:color w:val="000000"/>
          <w:sz w:val="24"/>
          <w:szCs w:val="24"/>
        </w:rPr>
        <w:t xml:space="preserve">studiju </w:t>
      </w:r>
      <w:r w:rsidRPr="00432582">
        <w:rPr>
          <w:rFonts w:ascii="Times New Roman" w:eastAsia="Times New Roman" w:hAnsi="Times New Roman" w:cs="Times New Roman"/>
          <w:color w:val="000000"/>
          <w:sz w:val="24"/>
          <w:szCs w:val="24"/>
        </w:rPr>
        <w:t>moduļu</w:t>
      </w:r>
      <w:r w:rsidR="00421C1E" w:rsidRPr="00432582">
        <w:rPr>
          <w:rFonts w:ascii="Times New Roman" w:eastAsia="Times New Roman" w:hAnsi="Times New Roman" w:cs="Times New Roman"/>
          <w:color w:val="000000"/>
          <w:sz w:val="24"/>
          <w:szCs w:val="24"/>
        </w:rPr>
        <w:t>/kursu</w:t>
      </w:r>
      <w:r w:rsidRPr="00432582">
        <w:rPr>
          <w:rFonts w:ascii="Times New Roman" w:eastAsia="Times New Roman" w:hAnsi="Times New Roman" w:cs="Times New Roman"/>
          <w:color w:val="000000"/>
          <w:sz w:val="24"/>
          <w:szCs w:val="24"/>
        </w:rPr>
        <w:t xml:space="preserve"> izstrādi, </w:t>
      </w:r>
      <w:r w:rsidR="00421C1E" w:rsidRPr="00432582">
        <w:rPr>
          <w:rFonts w:ascii="Times New Roman" w:eastAsia="Times New Roman" w:hAnsi="Times New Roman" w:cs="Times New Roman"/>
          <w:color w:val="000000"/>
          <w:sz w:val="24"/>
          <w:szCs w:val="24"/>
        </w:rPr>
        <w:t xml:space="preserve">to </w:t>
      </w:r>
      <w:r w:rsidRPr="00432582">
        <w:rPr>
          <w:rFonts w:ascii="Times New Roman" w:eastAsia="Times New Roman" w:hAnsi="Times New Roman" w:cs="Times New Roman"/>
          <w:color w:val="000000"/>
          <w:sz w:val="24"/>
          <w:szCs w:val="24"/>
        </w:rPr>
        <w:t>integrāciju studiju programmās</w:t>
      </w:r>
      <w:r w:rsidR="00421C1E" w:rsidRPr="00432582">
        <w:rPr>
          <w:rFonts w:ascii="Times New Roman" w:eastAsia="Times New Roman" w:hAnsi="Times New Roman" w:cs="Times New Roman"/>
          <w:color w:val="000000"/>
          <w:sz w:val="24"/>
          <w:szCs w:val="24"/>
        </w:rPr>
        <w:t>,</w:t>
      </w:r>
      <w:r w:rsidRPr="00432582">
        <w:rPr>
          <w:rFonts w:ascii="Times New Roman" w:eastAsia="Times New Roman" w:hAnsi="Times New Roman" w:cs="Times New Roman"/>
          <w:color w:val="000000"/>
          <w:sz w:val="24"/>
          <w:szCs w:val="24"/>
        </w:rPr>
        <w:t xml:space="preserve"> aprobāciju</w:t>
      </w:r>
      <w:r w:rsidR="00421C1E" w:rsidRPr="00432582">
        <w:rPr>
          <w:rFonts w:ascii="Times New Roman" w:eastAsia="Times New Roman" w:hAnsi="Times New Roman" w:cs="Times New Roman"/>
          <w:color w:val="000000"/>
          <w:sz w:val="24"/>
          <w:szCs w:val="24"/>
        </w:rPr>
        <w:t xml:space="preserve"> un pilnveidošanu</w:t>
      </w:r>
      <w:r w:rsidRPr="00432582">
        <w:rPr>
          <w:rFonts w:ascii="Times New Roman" w:eastAsia="Times New Roman" w:hAnsi="Times New Roman" w:cs="Times New Roman"/>
          <w:color w:val="000000"/>
          <w:sz w:val="24"/>
          <w:szCs w:val="24"/>
        </w:rPr>
        <w:t>.</w:t>
      </w:r>
    </w:p>
    <w:p w14:paraId="11097225" w14:textId="48011DDD" w:rsidR="006E47A6" w:rsidRPr="00432582"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bookmarkStart w:id="2" w:name="_Hlk126143231"/>
      <w:r w:rsidRPr="00432582">
        <w:rPr>
          <w:rFonts w:ascii="Times New Roman" w:eastAsia="Times New Roman" w:hAnsi="Times New Roman" w:cs="Times New Roman"/>
          <w:color w:val="000000"/>
          <w:sz w:val="24"/>
          <w:szCs w:val="24"/>
        </w:rPr>
        <w:t>Konkursā atlasīto Mācībspēku atalgojums tiek noteikts saskaņā ar RTU Padomes 2022.gada 13.septembrī aps</w:t>
      </w:r>
      <w:r w:rsidRPr="00432582">
        <w:rPr>
          <w:rFonts w:ascii="Times New Roman" w:eastAsia="Times New Roman" w:hAnsi="Times New Roman" w:cs="Times New Roman"/>
          <w:color w:val="000000"/>
          <w:sz w:val="24"/>
          <w:szCs w:val="24"/>
        </w:rPr>
        <w:t>tiprināto Vienotu darba samaksas kārtību un Amatu katalogu</w:t>
      </w:r>
      <w:r w:rsidR="00CE44F8" w:rsidRPr="00432582">
        <w:rPr>
          <w:rFonts w:ascii="Times New Roman" w:eastAsia="Times New Roman" w:hAnsi="Times New Roman" w:cs="Times New Roman"/>
          <w:color w:val="000000"/>
          <w:sz w:val="24"/>
          <w:szCs w:val="24"/>
        </w:rPr>
        <w:t>,</w:t>
      </w:r>
      <w:r w:rsidRPr="00432582">
        <w:rPr>
          <w:rFonts w:ascii="Times New Roman" w:eastAsia="Times New Roman" w:hAnsi="Times New Roman" w:cs="Times New Roman"/>
          <w:color w:val="000000"/>
          <w:sz w:val="24"/>
          <w:szCs w:val="24"/>
        </w:rPr>
        <w:t xml:space="preserve"> ievērojot nosacījumu, ka par līdzīgiem pienākumiem tiek noteikts līdzīgs atalgojums. </w:t>
      </w:r>
    </w:p>
    <w:bookmarkEnd w:id="2"/>
    <w:p w14:paraId="0FCC77B3" w14:textId="77777777" w:rsidR="006E47A6" w:rsidRDefault="006E47A6">
      <w:p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p>
    <w:p w14:paraId="3218BEF5" w14:textId="77777777" w:rsidR="006E47A6" w:rsidRDefault="006E7011">
      <w:pPr>
        <w:numPr>
          <w:ilvl w:val="0"/>
          <w:numId w:val="2"/>
        </w:numPr>
        <w:pBdr>
          <w:top w:val="nil"/>
          <w:left w:val="nil"/>
          <w:bottom w:val="nil"/>
          <w:right w:val="nil"/>
          <w:between w:val="nil"/>
        </w:pBdr>
        <w:spacing w:after="0"/>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Pieteikumu iesniegšanas kārtība un iesniedzamie dokumenti</w:t>
      </w:r>
    </w:p>
    <w:p w14:paraId="7A6287EE" w14:textId="38BD0D08" w:rsidR="006E47A6" w:rsidRPr="00432582"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Lai piedalītos atlases konkursā, Mācībspēks</w:t>
      </w:r>
      <w:r w:rsidR="00432582" w:rsidRPr="00432582">
        <w:rPr>
          <w:rFonts w:ascii="Times New Roman" w:eastAsia="Times New Roman" w:hAnsi="Times New Roman" w:cs="Times New Roman"/>
          <w:color w:val="000000"/>
          <w:sz w:val="24"/>
          <w:szCs w:val="24"/>
        </w:rPr>
        <w:t>(-i)</w:t>
      </w:r>
      <w:r w:rsidR="00421C1E" w:rsidRPr="00432582">
        <w:rPr>
          <w:rFonts w:ascii="Times New Roman" w:eastAsia="Times New Roman" w:hAnsi="Times New Roman" w:cs="Times New Roman"/>
          <w:color w:val="000000"/>
          <w:sz w:val="24"/>
          <w:szCs w:val="24"/>
        </w:rPr>
        <w:t xml:space="preserve"> </w:t>
      </w:r>
      <w:r w:rsidRPr="00432582">
        <w:rPr>
          <w:rFonts w:ascii="Times New Roman" w:eastAsia="Times New Roman" w:hAnsi="Times New Roman" w:cs="Times New Roman"/>
          <w:color w:val="000000"/>
          <w:sz w:val="24"/>
          <w:szCs w:val="24"/>
        </w:rPr>
        <w:t>sagatavo un iesniedz šādus dokumentus:</w:t>
      </w:r>
    </w:p>
    <w:p w14:paraId="3105A7E1" w14:textId="5159ECA1" w:rsidR="006E47A6" w:rsidRDefault="006E7011" w:rsidP="00E73FA6">
      <w:pPr>
        <w:numPr>
          <w:ilvl w:val="2"/>
          <w:numId w:val="2"/>
        </w:numPr>
        <w:pBdr>
          <w:top w:val="nil"/>
          <w:left w:val="nil"/>
          <w:bottom w:val="nil"/>
          <w:right w:val="nil"/>
          <w:between w:val="nil"/>
        </w:pBdr>
        <w:spacing w:after="0"/>
        <w:ind w:left="1134" w:hanging="708"/>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lastRenderedPageBreak/>
        <w:t xml:space="preserve">aizpildītu </w:t>
      </w:r>
      <w:r w:rsidR="003D630E">
        <w:rPr>
          <w:rFonts w:ascii="Times New Roman" w:eastAsia="Times New Roman" w:hAnsi="Times New Roman" w:cs="Times New Roman"/>
          <w:color w:val="000000"/>
          <w:sz w:val="24"/>
          <w:szCs w:val="24"/>
        </w:rPr>
        <w:t xml:space="preserve">pieteikumu (sk. </w:t>
      </w:r>
      <w:r w:rsidRPr="00432582">
        <w:rPr>
          <w:rFonts w:ascii="Times New Roman" w:eastAsia="Times New Roman" w:hAnsi="Times New Roman" w:cs="Times New Roman"/>
          <w:color w:val="000000"/>
          <w:sz w:val="24"/>
          <w:szCs w:val="24"/>
        </w:rPr>
        <w:t>šī Nolikuma 1. pielikumu</w:t>
      </w:r>
      <w:r w:rsidR="003D630E">
        <w:rPr>
          <w:rFonts w:ascii="Times New Roman" w:eastAsia="Times New Roman" w:hAnsi="Times New Roman" w:cs="Times New Roman"/>
          <w:color w:val="000000"/>
          <w:sz w:val="24"/>
          <w:szCs w:val="24"/>
        </w:rPr>
        <w:t>)</w:t>
      </w:r>
      <w:r w:rsidRPr="00432582">
        <w:rPr>
          <w:rFonts w:ascii="Times New Roman" w:eastAsia="Times New Roman" w:hAnsi="Times New Roman" w:cs="Times New Roman"/>
          <w:color w:val="000000"/>
          <w:sz w:val="24"/>
          <w:szCs w:val="24"/>
        </w:rPr>
        <w:t>;</w:t>
      </w:r>
    </w:p>
    <w:p w14:paraId="01D7CB03" w14:textId="47705DF8" w:rsidR="00BF73FA" w:rsidRPr="00432582" w:rsidRDefault="00BF73FA" w:rsidP="00E73FA6">
      <w:pPr>
        <w:numPr>
          <w:ilvl w:val="2"/>
          <w:numId w:val="2"/>
        </w:numPr>
        <w:pBdr>
          <w:top w:val="nil"/>
          <w:left w:val="nil"/>
          <w:bottom w:val="nil"/>
          <w:right w:val="nil"/>
          <w:between w:val="nil"/>
        </w:pBdr>
        <w:spacing w:after="0"/>
        <w:ind w:left="1134"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apliecinājumu (sk. šī Nolikuma 2.pielikumu);</w:t>
      </w:r>
    </w:p>
    <w:p w14:paraId="4106244D" w14:textId="30A4475B" w:rsidR="006E47A6" w:rsidRPr="00432582" w:rsidRDefault="006E7011" w:rsidP="00E73FA6">
      <w:pPr>
        <w:numPr>
          <w:ilvl w:val="2"/>
          <w:numId w:val="2"/>
        </w:numPr>
        <w:pBdr>
          <w:top w:val="nil"/>
          <w:left w:val="nil"/>
          <w:bottom w:val="nil"/>
          <w:right w:val="nil"/>
          <w:between w:val="nil"/>
        </w:pBdr>
        <w:spacing w:after="0"/>
        <w:ind w:left="1134" w:hanging="708"/>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Mācībspēka</w:t>
      </w:r>
      <w:r w:rsidR="00432582" w:rsidRPr="00432582">
        <w:rPr>
          <w:rFonts w:ascii="Times New Roman" w:eastAsia="Times New Roman" w:hAnsi="Times New Roman" w:cs="Times New Roman"/>
          <w:color w:val="000000"/>
          <w:sz w:val="24"/>
          <w:szCs w:val="24"/>
        </w:rPr>
        <w:t>(-u)</w:t>
      </w:r>
      <w:r w:rsidRPr="00432582">
        <w:rPr>
          <w:rFonts w:ascii="Times New Roman" w:eastAsia="Times New Roman" w:hAnsi="Times New Roman" w:cs="Times New Roman"/>
          <w:color w:val="000000"/>
          <w:sz w:val="24"/>
          <w:szCs w:val="24"/>
        </w:rPr>
        <w:t xml:space="preserve"> dzīves gājuma aprakstu (CV), tajā uzverot studiju kursu izstrādes un pasniegšanas pieredzi.</w:t>
      </w:r>
    </w:p>
    <w:p w14:paraId="18CB131C" w14:textId="77777777" w:rsidR="00BF73FA" w:rsidRDefault="006E7011">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2582">
        <w:rPr>
          <w:rFonts w:ascii="Times New Roman" w:eastAsia="Times New Roman" w:hAnsi="Times New Roman" w:cs="Times New Roman"/>
          <w:color w:val="000000"/>
          <w:sz w:val="24"/>
          <w:szCs w:val="24"/>
        </w:rPr>
        <w:t xml:space="preserve"> Mācībspēk</w:t>
      </w:r>
      <w:r w:rsidR="00432582" w:rsidRPr="00432582">
        <w:rPr>
          <w:rFonts w:ascii="Times New Roman" w:eastAsia="Times New Roman" w:hAnsi="Times New Roman" w:cs="Times New Roman"/>
          <w:color w:val="000000"/>
          <w:sz w:val="24"/>
          <w:szCs w:val="24"/>
        </w:rPr>
        <w:t>s</w:t>
      </w:r>
      <w:r w:rsidR="00421C1E" w:rsidRPr="00432582">
        <w:rPr>
          <w:rFonts w:ascii="Times New Roman" w:eastAsia="Times New Roman" w:hAnsi="Times New Roman" w:cs="Times New Roman"/>
          <w:color w:val="000000"/>
          <w:sz w:val="24"/>
          <w:szCs w:val="24"/>
        </w:rPr>
        <w:t>(</w:t>
      </w:r>
      <w:r w:rsidR="00432582" w:rsidRPr="00432582">
        <w:rPr>
          <w:rFonts w:ascii="Times New Roman" w:eastAsia="Times New Roman" w:hAnsi="Times New Roman" w:cs="Times New Roman"/>
          <w:color w:val="000000"/>
          <w:sz w:val="24"/>
          <w:szCs w:val="24"/>
        </w:rPr>
        <w:t>-i)</w:t>
      </w:r>
      <w:r w:rsidR="00421C1E" w:rsidRPr="00432582">
        <w:rPr>
          <w:rFonts w:ascii="Times New Roman" w:eastAsia="Times New Roman" w:hAnsi="Times New Roman" w:cs="Times New Roman"/>
          <w:color w:val="000000"/>
          <w:sz w:val="24"/>
          <w:szCs w:val="24"/>
        </w:rPr>
        <w:t xml:space="preserve"> </w:t>
      </w:r>
      <w:r w:rsidRPr="00432582">
        <w:rPr>
          <w:rFonts w:ascii="Times New Roman" w:eastAsia="Times New Roman" w:hAnsi="Times New Roman" w:cs="Times New Roman"/>
          <w:color w:val="000000"/>
          <w:sz w:val="24"/>
          <w:szCs w:val="24"/>
        </w:rPr>
        <w:t xml:space="preserve">iesniedz </w:t>
      </w:r>
      <w:r w:rsidR="003D630E">
        <w:rPr>
          <w:rFonts w:ascii="Times New Roman" w:eastAsia="Times New Roman" w:hAnsi="Times New Roman" w:cs="Times New Roman"/>
          <w:color w:val="000000"/>
          <w:sz w:val="24"/>
          <w:szCs w:val="24"/>
        </w:rPr>
        <w:t>elektroniski parakstītos dokumentus</w:t>
      </w:r>
      <w:r w:rsidRPr="00432582">
        <w:rPr>
          <w:rFonts w:ascii="Times New Roman" w:eastAsia="Times New Roman" w:hAnsi="Times New Roman" w:cs="Times New Roman"/>
          <w:color w:val="000000"/>
          <w:sz w:val="24"/>
          <w:szCs w:val="24"/>
        </w:rPr>
        <w:t xml:space="preserve">, tos nosūtot uz e-pasta adresi: </w:t>
      </w:r>
      <w:r w:rsidR="00825FDD" w:rsidRPr="00432582">
        <w:rPr>
          <w:rFonts w:ascii="Times New Roman" w:eastAsia="Times New Roman" w:hAnsi="Times New Roman" w:cs="Times New Roman"/>
          <w:color w:val="000000"/>
          <w:sz w:val="24"/>
          <w:szCs w:val="24"/>
        </w:rPr>
        <w:t>aldpprojekts@rtu.lv</w:t>
      </w:r>
      <w:r w:rsidRPr="00432582">
        <w:rPr>
          <w:rFonts w:ascii="Times New Roman" w:eastAsia="Times New Roman" w:hAnsi="Times New Roman" w:cs="Times New Roman"/>
          <w:color w:val="000000"/>
          <w:sz w:val="24"/>
          <w:szCs w:val="24"/>
        </w:rPr>
        <w:t xml:space="preserve"> ar norādi  “Dalība HPC projektā”.</w:t>
      </w:r>
      <w:r w:rsidR="003D630E">
        <w:rPr>
          <w:rFonts w:ascii="Times New Roman" w:eastAsia="Times New Roman" w:hAnsi="Times New Roman" w:cs="Times New Roman"/>
          <w:color w:val="000000"/>
          <w:sz w:val="24"/>
          <w:szCs w:val="24"/>
        </w:rPr>
        <w:t xml:space="preserve"> </w:t>
      </w:r>
    </w:p>
    <w:p w14:paraId="23AB7557" w14:textId="0450549F" w:rsidR="006E47A6" w:rsidRDefault="003D630E">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Dokumenti ir jāiesniedz līdz konkursa termiņa dienas plkst. 16:00.</w:t>
      </w:r>
    </w:p>
    <w:p w14:paraId="1B79A57C" w14:textId="77777777" w:rsidR="00432582" w:rsidRPr="00432582" w:rsidRDefault="00432582" w:rsidP="00432582">
      <w:pPr>
        <w:pBdr>
          <w:top w:val="nil"/>
          <w:left w:val="nil"/>
          <w:bottom w:val="nil"/>
          <w:right w:val="nil"/>
          <w:between w:val="nil"/>
        </w:pBdr>
        <w:spacing w:after="0"/>
        <w:ind w:left="360" w:firstLine="0"/>
        <w:rPr>
          <w:rFonts w:ascii="Times New Roman" w:eastAsia="Times New Roman" w:hAnsi="Times New Roman" w:cs="Times New Roman"/>
          <w:color w:val="000000"/>
          <w:sz w:val="24"/>
          <w:szCs w:val="24"/>
        </w:rPr>
      </w:pPr>
    </w:p>
    <w:p w14:paraId="03C15C82" w14:textId="77777777" w:rsidR="006E47A6" w:rsidRDefault="006E7011">
      <w:pPr>
        <w:numPr>
          <w:ilvl w:val="0"/>
          <w:numId w:val="2"/>
        </w:numPr>
        <w:pBdr>
          <w:top w:val="nil"/>
          <w:left w:val="nil"/>
          <w:bottom w:val="nil"/>
          <w:right w:val="nil"/>
          <w:between w:val="nil"/>
        </w:pBdr>
        <w:tabs>
          <w:tab w:val="left" w:pos="284"/>
        </w:tabs>
        <w:spacing w:after="0"/>
        <w:ind w:hanging="72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Pieteikumu vērtēšana un lēmumu pieņemšana</w:t>
      </w:r>
    </w:p>
    <w:p w14:paraId="2C0688CC" w14:textId="0E3872AF"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Mācībspēku pieteikumu vērtēšanu veic Projekta ietvaros izveidotā žūrijas komisija, kura sastāv no </w:t>
      </w:r>
      <w:r w:rsidR="00421C1E">
        <w:rPr>
          <w:rFonts w:ascii="Times New Roman" w:eastAsia="Times New Roman" w:hAnsi="Times New Roman" w:cs="Times New Roman"/>
          <w:color w:val="000000"/>
          <w:sz w:val="24"/>
          <w:szCs w:val="24"/>
        </w:rPr>
        <w:t>RTU</w:t>
      </w:r>
      <w:r>
        <w:rPr>
          <w:rFonts w:ascii="Times New Roman" w:eastAsia="Times New Roman" w:hAnsi="Times New Roman" w:cs="Times New Roman"/>
          <w:color w:val="000000"/>
          <w:sz w:val="24"/>
          <w:szCs w:val="24"/>
        </w:rPr>
        <w:t xml:space="preserve"> un ekspertu pārstāvjiem.</w:t>
      </w:r>
    </w:p>
    <w:p w14:paraId="11BABBF9" w14:textId="4E75D4B4"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izskata saņemtos pieteikumus un izvērtē tos atbilstoši </w:t>
      </w:r>
      <w:r w:rsidR="00BF73FA">
        <w:rPr>
          <w:rFonts w:ascii="Times New Roman" w:eastAsia="Times New Roman" w:hAnsi="Times New Roman" w:cs="Times New Roman"/>
          <w:color w:val="000000"/>
          <w:sz w:val="24"/>
          <w:szCs w:val="24"/>
        </w:rPr>
        <w:t xml:space="preserve">atbilstības un </w:t>
      </w:r>
      <w:r>
        <w:rPr>
          <w:rFonts w:ascii="Times New Roman" w:eastAsia="Times New Roman" w:hAnsi="Times New Roman" w:cs="Times New Roman"/>
          <w:color w:val="000000"/>
          <w:sz w:val="24"/>
          <w:szCs w:val="24"/>
        </w:rPr>
        <w:t>kvalitatīvajiem kritērijiem, kuri ir norādīti šī n</w:t>
      </w:r>
      <w:r>
        <w:rPr>
          <w:rFonts w:ascii="Times New Roman" w:eastAsia="Times New Roman" w:hAnsi="Times New Roman" w:cs="Times New Roman"/>
          <w:color w:val="000000"/>
          <w:sz w:val="24"/>
          <w:szCs w:val="24"/>
        </w:rPr>
        <w:t xml:space="preserve">olikuma </w:t>
      </w:r>
      <w:r w:rsidR="00BF73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.pielikumā.  </w:t>
      </w:r>
    </w:p>
    <w:p w14:paraId="43CA0C55" w14:textId="430C57E0" w:rsidR="006E47A6" w:rsidRDefault="006E7011">
      <w:pPr>
        <w:numPr>
          <w:ilvl w:val="1"/>
          <w:numId w:val="2"/>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Lēmumu par Mācībspēk</w:t>
      </w:r>
      <w:r w:rsidR="00421C1E">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atlasi paziņo elektroniski konkursa dalībniekiem atbilstoši pieteikum</w:t>
      </w:r>
      <w:r w:rsidR="00CE44F8">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 xml:space="preserve"> norādītajai kontaktinformācijai.</w:t>
      </w:r>
    </w:p>
    <w:p w14:paraId="258DDDA0" w14:textId="5D2E15C7" w:rsidR="006E267A" w:rsidRDefault="006E267A" w:rsidP="00F81975">
      <w:pPr>
        <w:ind w:left="0" w:firstLine="0"/>
        <w:rPr>
          <w:rFonts w:ascii="Times New Roman" w:eastAsia="Times New Roman" w:hAnsi="Times New Roman" w:cs="Times New Roman"/>
          <w:i/>
          <w:sz w:val="24"/>
          <w:szCs w:val="24"/>
        </w:rPr>
      </w:pPr>
    </w:p>
    <w:sectPr w:rsidR="006E267A" w:rsidSect="00AD5443">
      <w:headerReference w:type="default" r:id="rId8"/>
      <w:footerReference w:type="default" r:id="rId9"/>
      <w:footerReference w:type="first" r:id="rId10"/>
      <w:pgSz w:w="11906" w:h="16838"/>
      <w:pgMar w:top="1021" w:right="851" w:bottom="79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0999" w14:textId="77777777" w:rsidR="006E7011" w:rsidRDefault="006E7011">
      <w:pPr>
        <w:spacing w:before="0" w:after="0"/>
      </w:pPr>
      <w:r>
        <w:separator/>
      </w:r>
    </w:p>
  </w:endnote>
  <w:endnote w:type="continuationSeparator" w:id="0">
    <w:p w14:paraId="29B42626" w14:textId="77777777" w:rsidR="006E7011" w:rsidRDefault="006E70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985B" w14:textId="0107FCA1" w:rsidR="00D84A14" w:rsidRDefault="00D84A14" w:rsidP="00D84A14">
    <w:pPr>
      <w:pStyle w:val="Footer"/>
      <w:jc w:val="center"/>
      <w:rPr>
        <w:noProof/>
      </w:rPr>
    </w:pPr>
  </w:p>
  <w:p w14:paraId="2A7364B0" w14:textId="4B7D0C59" w:rsidR="00EB6B8B" w:rsidRDefault="00EB6B8B" w:rsidP="00EB6B8B">
    <w:pPr>
      <w:pStyle w:val="Footer"/>
      <w:ind w:left="0" w:firstLine="0"/>
      <w:jc w:val="center"/>
    </w:pPr>
    <w:r>
      <w:rPr>
        <w:noProof/>
      </w:rPr>
      <w:drawing>
        <wp:inline distT="0" distB="0" distL="0" distR="0" wp14:anchorId="174F86DB" wp14:editId="60F52ED6">
          <wp:extent cx="1352550" cy="11239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550" cy="1123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2BB" w14:textId="77777777" w:rsidR="006E47A6" w:rsidRDefault="006E47A6">
    <w:pPr>
      <w:widowControl w:val="0"/>
      <w:pBdr>
        <w:top w:val="nil"/>
        <w:left w:val="nil"/>
        <w:bottom w:val="nil"/>
        <w:right w:val="nil"/>
        <w:between w:val="nil"/>
      </w:pBdr>
      <w:spacing w:before="0" w:after="0" w:line="276" w:lineRule="auto"/>
      <w:ind w:left="0" w:firstLine="0"/>
      <w:jc w:val="left"/>
      <w:rPr>
        <w:color w:val="000000"/>
      </w:rPr>
    </w:pPr>
  </w:p>
  <w:tbl>
    <w:tblPr>
      <w:tblStyle w:val="a5"/>
      <w:tblW w:w="8313" w:type="dxa"/>
      <w:tblLayout w:type="fixed"/>
      <w:tblLook w:val="0400" w:firstRow="0" w:lastRow="0" w:firstColumn="0" w:lastColumn="0" w:noHBand="0" w:noVBand="1"/>
    </w:tblPr>
    <w:tblGrid>
      <w:gridCol w:w="2771"/>
      <w:gridCol w:w="2771"/>
      <w:gridCol w:w="2771"/>
    </w:tblGrid>
    <w:tr w:rsidR="006E47A6" w14:paraId="0A65A4FD" w14:textId="77777777">
      <w:tc>
        <w:tcPr>
          <w:tcW w:w="2771" w:type="dxa"/>
        </w:tcPr>
        <w:p w14:paraId="418EA32C" w14:textId="77777777" w:rsidR="006E47A6" w:rsidRDefault="006E47A6">
          <w:pPr>
            <w:pBdr>
              <w:top w:val="nil"/>
              <w:left w:val="nil"/>
              <w:bottom w:val="nil"/>
              <w:right w:val="nil"/>
              <w:between w:val="nil"/>
            </w:pBdr>
            <w:tabs>
              <w:tab w:val="center" w:pos="4153"/>
              <w:tab w:val="right" w:pos="8306"/>
            </w:tabs>
            <w:spacing w:after="0"/>
            <w:ind w:left="-115"/>
            <w:jc w:val="left"/>
            <w:rPr>
              <w:color w:val="000000"/>
            </w:rPr>
          </w:pPr>
        </w:p>
      </w:tc>
      <w:tc>
        <w:tcPr>
          <w:tcW w:w="2771" w:type="dxa"/>
        </w:tcPr>
        <w:p w14:paraId="1816B6EA" w14:textId="77777777" w:rsidR="006E47A6" w:rsidRDefault="006E47A6">
          <w:pPr>
            <w:pBdr>
              <w:top w:val="nil"/>
              <w:left w:val="nil"/>
              <w:bottom w:val="nil"/>
              <w:right w:val="nil"/>
              <w:between w:val="nil"/>
            </w:pBdr>
            <w:tabs>
              <w:tab w:val="center" w:pos="4153"/>
              <w:tab w:val="right" w:pos="8306"/>
            </w:tabs>
            <w:spacing w:after="0"/>
            <w:jc w:val="center"/>
            <w:rPr>
              <w:color w:val="000000"/>
            </w:rPr>
          </w:pPr>
        </w:p>
      </w:tc>
      <w:tc>
        <w:tcPr>
          <w:tcW w:w="2771" w:type="dxa"/>
        </w:tcPr>
        <w:p w14:paraId="3A73E003" w14:textId="77777777" w:rsidR="006E47A6" w:rsidRDefault="006E47A6">
          <w:pPr>
            <w:pBdr>
              <w:top w:val="nil"/>
              <w:left w:val="nil"/>
              <w:bottom w:val="nil"/>
              <w:right w:val="nil"/>
              <w:between w:val="nil"/>
            </w:pBdr>
            <w:tabs>
              <w:tab w:val="center" w:pos="4153"/>
              <w:tab w:val="right" w:pos="8306"/>
            </w:tabs>
            <w:spacing w:after="0"/>
            <w:ind w:right="-115"/>
            <w:jc w:val="right"/>
            <w:rPr>
              <w:color w:val="000000"/>
            </w:rPr>
          </w:pPr>
        </w:p>
      </w:tc>
    </w:tr>
  </w:tbl>
  <w:p w14:paraId="787745D7" w14:textId="77777777" w:rsidR="006E47A6" w:rsidRDefault="006E47A6">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FE1A" w14:textId="77777777" w:rsidR="006E7011" w:rsidRDefault="006E7011">
      <w:pPr>
        <w:spacing w:before="0" w:after="0"/>
      </w:pPr>
      <w:r>
        <w:separator/>
      </w:r>
    </w:p>
  </w:footnote>
  <w:footnote w:type="continuationSeparator" w:id="0">
    <w:p w14:paraId="35EA71DC" w14:textId="77777777" w:rsidR="006E7011" w:rsidRDefault="006E7011">
      <w:pPr>
        <w:spacing w:before="0" w:after="0"/>
      </w:pPr>
      <w:r>
        <w:continuationSeparator/>
      </w:r>
    </w:p>
  </w:footnote>
  <w:footnote w:id="1">
    <w:p w14:paraId="2C13F1C3" w14:textId="4700B081" w:rsidR="006E47A6" w:rsidRDefault="006E7011" w:rsidP="00EB6B8B">
      <w:pPr>
        <w:pBdr>
          <w:top w:val="nil"/>
          <w:left w:val="nil"/>
          <w:bottom w:val="nil"/>
          <w:right w:val="nil"/>
          <w:between w:val="nil"/>
        </w:pBdr>
        <w:spacing w:before="0" w:after="0"/>
        <w:ind w:left="567" w:hanging="283"/>
        <w:rPr>
          <w:rFonts w:ascii="Times New Roman" w:eastAsia="Times New Roman" w:hAnsi="Times New Roman" w:cs="Times New Roman"/>
          <w:color w:val="000000"/>
          <w:sz w:val="20"/>
          <w:szCs w:val="20"/>
        </w:rPr>
      </w:pPr>
      <w:r>
        <w:rPr>
          <w:vertAlign w:val="superscript"/>
        </w:rPr>
        <w:footnoteRef/>
      </w:r>
      <w:r w:rsidR="00D84A14">
        <w:rPr>
          <w:rFonts w:ascii="Times New Roman" w:eastAsia="Times New Roman" w:hAnsi="Times New Roman" w:cs="Times New Roman"/>
          <w:color w:val="000000"/>
          <w:sz w:val="20"/>
          <w:szCs w:val="20"/>
          <w:lang w:val="ru-RU"/>
        </w:rPr>
        <w:t xml:space="preserve"> </w:t>
      </w:r>
      <w:hyperlink r:id="rId1" w:history="1">
        <w:r w:rsidR="00D84A14" w:rsidRPr="00D84A14">
          <w:rPr>
            <w:rStyle w:val="Hyperlink"/>
            <w:rFonts w:ascii="Times New Roman" w:eastAsia="Times New Roman" w:hAnsi="Times New Roman" w:cs="Times New Roman"/>
            <w:sz w:val="20"/>
            <w:szCs w:val="20"/>
          </w:rPr>
          <w:t>Ministru kabineta noteikumi Nr. 453</w:t>
        </w:r>
      </w:hyperlink>
    </w:p>
  </w:footnote>
  <w:footnote w:id="2">
    <w:p w14:paraId="142E8B27" w14:textId="3A789EDB" w:rsidR="006E47A6" w:rsidRDefault="006E7011" w:rsidP="00EB6B8B">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w:t>
      </w:r>
      <w:hyperlink r:id="rId2" w:history="1">
        <w:r w:rsidR="00D84A14" w:rsidRPr="00D84A14">
          <w:rPr>
            <w:rStyle w:val="Hyperlink"/>
            <w:rFonts w:ascii="Times New Roman" w:hAnsi="Times New Roman" w:cs="Times New Roman"/>
            <w:sz w:val="20"/>
            <w:szCs w:val="20"/>
          </w:rPr>
          <w:t>Digitālās kompetences ietvarstruktūra ar astoņiem apguves līmeņiem un piemēriem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C2AB" w14:textId="0EF9C2A1" w:rsidR="006E47A6" w:rsidRPr="00D84A14" w:rsidRDefault="00D84A14" w:rsidP="00D84A14">
    <w:pPr>
      <w:pStyle w:val="Header"/>
      <w:tabs>
        <w:tab w:val="left" w:pos="0"/>
      </w:tabs>
      <w:ind w:left="0" w:firstLine="0"/>
    </w:pPr>
    <w:r>
      <w:rPr>
        <w:noProof/>
      </w:rPr>
      <w:drawing>
        <wp:inline distT="0" distB="0" distL="0" distR="0" wp14:anchorId="1EAC5576" wp14:editId="2CD80DB4">
          <wp:extent cx="5759450" cy="160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59450" cy="1600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74C7"/>
    <w:multiLevelType w:val="hybridMultilevel"/>
    <w:tmpl w:val="6ACA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F04EE"/>
    <w:multiLevelType w:val="multilevel"/>
    <w:tmpl w:val="77428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5A1518"/>
    <w:multiLevelType w:val="multilevel"/>
    <w:tmpl w:val="0104798A"/>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710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B0A5781"/>
    <w:multiLevelType w:val="hybridMultilevel"/>
    <w:tmpl w:val="5172F2D4"/>
    <w:lvl w:ilvl="0" w:tplc="6E789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3C6944"/>
    <w:multiLevelType w:val="hybridMultilevel"/>
    <w:tmpl w:val="620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6"/>
    <w:rsid w:val="00025B82"/>
    <w:rsid w:val="00106F14"/>
    <w:rsid w:val="001928EB"/>
    <w:rsid w:val="00222410"/>
    <w:rsid w:val="00263FC5"/>
    <w:rsid w:val="002D3EDD"/>
    <w:rsid w:val="003D630E"/>
    <w:rsid w:val="00421C1E"/>
    <w:rsid w:val="00432330"/>
    <w:rsid w:val="00432582"/>
    <w:rsid w:val="005330CF"/>
    <w:rsid w:val="00666F36"/>
    <w:rsid w:val="00696714"/>
    <w:rsid w:val="006E267A"/>
    <w:rsid w:val="006E47A6"/>
    <w:rsid w:val="006E7011"/>
    <w:rsid w:val="00736C8F"/>
    <w:rsid w:val="007B68B4"/>
    <w:rsid w:val="007C5AF5"/>
    <w:rsid w:val="007D6F92"/>
    <w:rsid w:val="007F234E"/>
    <w:rsid w:val="00825FDD"/>
    <w:rsid w:val="008B3AC9"/>
    <w:rsid w:val="008B3D54"/>
    <w:rsid w:val="00973C27"/>
    <w:rsid w:val="00994595"/>
    <w:rsid w:val="009E7647"/>
    <w:rsid w:val="00A1153B"/>
    <w:rsid w:val="00AD5443"/>
    <w:rsid w:val="00B129B6"/>
    <w:rsid w:val="00B21E3E"/>
    <w:rsid w:val="00BD446D"/>
    <w:rsid w:val="00BF73FA"/>
    <w:rsid w:val="00CE44F8"/>
    <w:rsid w:val="00D5683B"/>
    <w:rsid w:val="00D577A5"/>
    <w:rsid w:val="00D729A8"/>
    <w:rsid w:val="00D77975"/>
    <w:rsid w:val="00D84A14"/>
    <w:rsid w:val="00E40E93"/>
    <w:rsid w:val="00E73FA6"/>
    <w:rsid w:val="00E97872"/>
    <w:rsid w:val="00EB45AC"/>
    <w:rsid w:val="00EB6B8B"/>
    <w:rsid w:val="00F12657"/>
    <w:rsid w:val="00F35994"/>
    <w:rsid w:val="00F52646"/>
    <w:rsid w:val="00F81975"/>
    <w:rsid w:val="00FC3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2AA5"/>
  <w15:docId w15:val="{47200955-D6D1-4982-B60A-C160576C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300E"/>
    <w:rPr>
      <w:b/>
      <w:bCs/>
    </w:rPr>
  </w:style>
  <w:style w:type="character" w:customStyle="1" w:styleId="CommentSubjectChar">
    <w:name w:val="Comment Subject Char"/>
    <w:basedOn w:val="CommentTextChar"/>
    <w:link w:val="CommentSubject"/>
    <w:uiPriority w:val="99"/>
    <w:semiHidden/>
    <w:rsid w:val="00FC300E"/>
    <w:rPr>
      <w:b/>
      <w:bCs/>
      <w:sz w:val="20"/>
      <w:szCs w:val="20"/>
    </w:rPr>
  </w:style>
  <w:style w:type="paragraph" w:styleId="Header">
    <w:name w:val="header"/>
    <w:basedOn w:val="Normal"/>
    <w:link w:val="HeaderChar"/>
    <w:uiPriority w:val="99"/>
    <w:unhideWhenUsed/>
    <w:rsid w:val="00D84A14"/>
    <w:pPr>
      <w:tabs>
        <w:tab w:val="center" w:pos="4513"/>
        <w:tab w:val="right" w:pos="9026"/>
      </w:tabs>
      <w:spacing w:before="0" w:after="0"/>
    </w:pPr>
  </w:style>
  <w:style w:type="character" w:customStyle="1" w:styleId="HeaderChar">
    <w:name w:val="Header Char"/>
    <w:basedOn w:val="DefaultParagraphFont"/>
    <w:link w:val="Header"/>
    <w:uiPriority w:val="99"/>
    <w:rsid w:val="00D84A14"/>
  </w:style>
  <w:style w:type="paragraph" w:styleId="Footer">
    <w:name w:val="footer"/>
    <w:basedOn w:val="Normal"/>
    <w:link w:val="FooterChar"/>
    <w:uiPriority w:val="99"/>
    <w:unhideWhenUsed/>
    <w:rsid w:val="00D84A14"/>
    <w:pPr>
      <w:tabs>
        <w:tab w:val="center" w:pos="4513"/>
        <w:tab w:val="right" w:pos="9026"/>
      </w:tabs>
      <w:spacing w:before="0" w:after="0"/>
    </w:pPr>
  </w:style>
  <w:style w:type="character" w:customStyle="1" w:styleId="FooterChar">
    <w:name w:val="Footer Char"/>
    <w:basedOn w:val="DefaultParagraphFont"/>
    <w:link w:val="Footer"/>
    <w:uiPriority w:val="99"/>
    <w:rsid w:val="00D84A14"/>
  </w:style>
  <w:style w:type="character" w:styleId="Hyperlink">
    <w:name w:val="Hyperlink"/>
    <w:basedOn w:val="DefaultParagraphFont"/>
    <w:uiPriority w:val="99"/>
    <w:unhideWhenUsed/>
    <w:rsid w:val="00D84A14"/>
    <w:rPr>
      <w:color w:val="0000FF" w:themeColor="hyperlink"/>
      <w:u w:val="single"/>
    </w:rPr>
  </w:style>
  <w:style w:type="character" w:styleId="UnresolvedMention">
    <w:name w:val="Unresolved Mention"/>
    <w:basedOn w:val="DefaultParagraphFont"/>
    <w:uiPriority w:val="99"/>
    <w:semiHidden/>
    <w:unhideWhenUsed/>
    <w:rsid w:val="00D84A14"/>
    <w:rPr>
      <w:color w:val="605E5C"/>
      <w:shd w:val="clear" w:color="auto" w:fill="E1DFDD"/>
    </w:rPr>
  </w:style>
  <w:style w:type="paragraph" w:styleId="EndnoteText">
    <w:name w:val="endnote text"/>
    <w:basedOn w:val="Normal"/>
    <w:link w:val="EndnoteTextChar"/>
    <w:uiPriority w:val="99"/>
    <w:semiHidden/>
    <w:unhideWhenUsed/>
    <w:rsid w:val="00A1153B"/>
    <w:pPr>
      <w:spacing w:before="0" w:after="0"/>
    </w:pPr>
    <w:rPr>
      <w:sz w:val="20"/>
      <w:szCs w:val="20"/>
    </w:rPr>
  </w:style>
  <w:style w:type="character" w:customStyle="1" w:styleId="EndnoteTextChar">
    <w:name w:val="Endnote Text Char"/>
    <w:basedOn w:val="DefaultParagraphFont"/>
    <w:link w:val="EndnoteText"/>
    <w:uiPriority w:val="99"/>
    <w:semiHidden/>
    <w:rsid w:val="00A1153B"/>
    <w:rPr>
      <w:sz w:val="20"/>
      <w:szCs w:val="20"/>
    </w:rPr>
  </w:style>
  <w:style w:type="character" w:styleId="EndnoteReference">
    <w:name w:val="endnote reference"/>
    <w:basedOn w:val="DefaultParagraphFont"/>
    <w:uiPriority w:val="99"/>
    <w:semiHidden/>
    <w:unhideWhenUsed/>
    <w:rsid w:val="00A1153B"/>
    <w:rPr>
      <w:vertAlign w:val="superscript"/>
    </w:rPr>
  </w:style>
  <w:style w:type="paragraph" w:styleId="FootnoteText">
    <w:name w:val="footnote text"/>
    <w:basedOn w:val="Normal"/>
    <w:link w:val="FootnoteTextChar"/>
    <w:uiPriority w:val="99"/>
    <w:semiHidden/>
    <w:unhideWhenUsed/>
    <w:rsid w:val="00A1153B"/>
    <w:pPr>
      <w:spacing w:before="0" w:after="0"/>
    </w:pPr>
    <w:rPr>
      <w:sz w:val="20"/>
      <w:szCs w:val="20"/>
    </w:rPr>
  </w:style>
  <w:style w:type="character" w:customStyle="1" w:styleId="FootnoteTextChar">
    <w:name w:val="Footnote Text Char"/>
    <w:basedOn w:val="DefaultParagraphFont"/>
    <w:link w:val="FootnoteText"/>
    <w:uiPriority w:val="99"/>
    <w:semiHidden/>
    <w:rsid w:val="00A1153B"/>
    <w:rPr>
      <w:sz w:val="20"/>
      <w:szCs w:val="20"/>
    </w:rPr>
  </w:style>
  <w:style w:type="character" w:styleId="FootnoteReference">
    <w:name w:val="footnote reference"/>
    <w:basedOn w:val="DefaultParagraphFont"/>
    <w:uiPriority w:val="99"/>
    <w:semiHidden/>
    <w:unhideWhenUsed/>
    <w:rsid w:val="00A1153B"/>
    <w:rPr>
      <w:vertAlign w:val="superscript"/>
    </w:rPr>
  </w:style>
  <w:style w:type="paragraph" w:styleId="ListParagraph">
    <w:name w:val="List Paragraph"/>
    <w:aliases w:val="H&amp;P List Paragraph"/>
    <w:basedOn w:val="Normal"/>
    <w:link w:val="ListParagraphChar"/>
    <w:uiPriority w:val="34"/>
    <w:qFormat/>
    <w:rsid w:val="00825FDD"/>
    <w:pPr>
      <w:ind w:left="720"/>
      <w:contextualSpacing/>
    </w:pPr>
  </w:style>
  <w:style w:type="character" w:customStyle="1" w:styleId="ListParagraphChar">
    <w:name w:val="List Paragraph Char"/>
    <w:aliases w:val="H&amp;P List Paragraph Char"/>
    <w:link w:val="ListParagraph"/>
    <w:uiPriority w:val="34"/>
    <w:locked/>
    <w:rsid w:val="00B21E3E"/>
  </w:style>
  <w:style w:type="table" w:customStyle="1" w:styleId="TableGrid5">
    <w:name w:val="Table Grid5"/>
    <w:basedOn w:val="TableNormal"/>
    <w:next w:val="TableGrid"/>
    <w:uiPriority w:val="39"/>
    <w:rsid w:val="00B21E3E"/>
    <w:pPr>
      <w:spacing w:before="0" w:after="0"/>
      <w:ind w:left="0" w:firstLine="0"/>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1E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73FA6"/>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uzizglitiba.gov.lv/sites/default/files/muzizglitiba-Digitala-kompetence.pdf" TargetMode="External"/><Relationship Id="rId1" Type="http://schemas.openxmlformats.org/officeDocument/2006/relationships/hyperlink" Target="https://likumi.lv/ta/id/334037-eiropas-savienibas-atveselosanas-un-noturibas-mehanisma-plana-2-komponentes-digitala-transformacija-23-reformu-un-investiciju-virziena-digitalas-prasmes-231r-reformas-ilgtspejigas-un-sociali-atbildigas-atbalsta-sistemas-pieauguso-izglitibai-attistiba-2311i-investicijas-augsta-limena-digitalo-prasmju-apguves-nodrosinasana-istenosanas-noteiku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FF48-AE55-4019-84DF-1BC38ABF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4891</Words>
  <Characters>2788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Lāsma Vaivare</cp:lastModifiedBy>
  <cp:revision>2</cp:revision>
  <cp:lastPrinted>2023-02-28T07:05:00Z</cp:lastPrinted>
  <dcterms:created xsi:type="dcterms:W3CDTF">2023-03-08T09:09:00Z</dcterms:created>
  <dcterms:modified xsi:type="dcterms:W3CDTF">2023-03-08T09:09:00Z</dcterms:modified>
</cp:coreProperties>
</file>