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B12A5">
        <w:rPr>
          <w:rFonts w:eastAsia="Cambria"/>
          <w:kern w:val="56"/>
          <w:sz w:val="20"/>
          <w:szCs w:val="20"/>
        </w:rPr>
        <w:t>.6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42EC6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C30AFE" w:rsidRPr="00655D18" w:rsidRDefault="00C30AFE" w:rsidP="00C30AFE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542EC6" w:rsidRPr="00764502" w:rsidRDefault="00542EC6" w:rsidP="00542EC6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542EC6" w:rsidRDefault="00542EC6" w:rsidP="00542EC6">
      <w:pPr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CB12A5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Nr.6</w:t>
      </w:r>
      <w:r w:rsidR="00FC3F25" w:rsidRPr="008E5724">
        <w:rPr>
          <w:rFonts w:eastAsia="Cambria"/>
          <w:b/>
          <w:kern w:val="56"/>
        </w:rPr>
        <w:t xml:space="preserve"> “</w:t>
      </w:r>
      <w:proofErr w:type="spellStart"/>
      <w:r w:rsidR="00542EC6">
        <w:rPr>
          <w:b/>
        </w:rPr>
        <w:t>Multifunkcionālā</w:t>
      </w:r>
      <w:proofErr w:type="spellEnd"/>
      <w:r w:rsidR="00542EC6">
        <w:rPr>
          <w:b/>
        </w:rPr>
        <w:t xml:space="preserve"> mēriekārta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542EC6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30AFE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3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30A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542EC6"/>
    <w:rsid w:val="006A38AF"/>
    <w:rsid w:val="008E5724"/>
    <w:rsid w:val="009A3CC5"/>
    <w:rsid w:val="00AA046A"/>
    <w:rsid w:val="00C30AFE"/>
    <w:rsid w:val="00CB12A5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2018-09-26T08:15:00Z</dcterms:modified>
</cp:coreProperties>
</file>