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74463B" w:rsidRDefault="003875A4" w:rsidP="003875A4">
      <w:pPr>
        <w:jc w:val="center"/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Iepirkuma</w:t>
      </w:r>
      <w:r w:rsidR="00677F1D" w:rsidRPr="0074463B">
        <w:rPr>
          <w:lang w:val="lv-LV"/>
        </w:rPr>
        <w:t xml:space="preserve"> </w:t>
      </w:r>
      <w:r w:rsidR="00677F1D" w:rsidRPr="0074463B">
        <w:rPr>
          <w:rFonts w:ascii="Times New Roman" w:hAnsi="Times New Roman"/>
          <w:lang w:val="lv-LV"/>
        </w:rPr>
        <w:t>Publisko iepirkumu likuma 9.panta kārtībā</w:t>
      </w:r>
    </w:p>
    <w:p w:rsidR="00953CAA" w:rsidRPr="0074463B" w:rsidRDefault="00953CAA" w:rsidP="003875A4">
      <w:pPr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“</w:t>
      </w:r>
      <w:r w:rsidR="00FC7B79" w:rsidRPr="0074463B">
        <w:rPr>
          <w:rFonts w:ascii="Times New Roman" w:hAnsi="Times New Roman"/>
          <w:b/>
          <w:lang w:val="lv-LV"/>
        </w:rPr>
        <w:t>Dažādu materiālu iegāde ERAF un citu projektu vajadzībām</w:t>
      </w:r>
      <w:r w:rsidRPr="0074463B">
        <w:rPr>
          <w:rFonts w:ascii="Times New Roman" w:hAnsi="Times New Roman"/>
          <w:b/>
          <w:lang w:val="lv-LV"/>
        </w:rPr>
        <w:t>”</w:t>
      </w:r>
    </w:p>
    <w:p w:rsidR="003875A4" w:rsidRPr="0074463B" w:rsidRDefault="006B3182" w:rsidP="003875A4">
      <w:pPr>
        <w:jc w:val="center"/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ID: RTU – 2017</w:t>
      </w:r>
      <w:r w:rsidR="00953CAA" w:rsidRPr="0074463B">
        <w:rPr>
          <w:rFonts w:ascii="Times New Roman" w:hAnsi="Times New Roman"/>
          <w:lang w:val="lv-LV"/>
        </w:rPr>
        <w:t>/</w:t>
      </w:r>
      <w:r w:rsidR="0074463B" w:rsidRPr="0074463B">
        <w:rPr>
          <w:rFonts w:ascii="Times New Roman" w:hAnsi="Times New Roman"/>
          <w:lang w:val="lv-LV"/>
        </w:rPr>
        <w:t>58</w:t>
      </w:r>
    </w:p>
    <w:p w:rsidR="00560FB6" w:rsidRPr="0074463B" w:rsidRDefault="00064B7A" w:rsidP="003875A4">
      <w:pPr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LĒMUMS</w:t>
      </w:r>
      <w:r w:rsidR="006B3182" w:rsidRPr="0074463B">
        <w:rPr>
          <w:rFonts w:ascii="Times New Roman" w:hAnsi="Times New Roman"/>
          <w:b/>
          <w:lang w:val="lv-LV"/>
        </w:rPr>
        <w:t xml:space="preserve"> </w:t>
      </w:r>
    </w:p>
    <w:p w:rsidR="006B3182" w:rsidRPr="0074463B" w:rsidRDefault="006B3182" w:rsidP="00064B7A">
      <w:pPr>
        <w:rPr>
          <w:rFonts w:ascii="Times New Roman" w:hAnsi="Times New Roman"/>
          <w:bCs/>
          <w:lang w:val="lv-LV"/>
        </w:rPr>
      </w:pPr>
    </w:p>
    <w:p w:rsidR="00064B7A" w:rsidRPr="0074463B" w:rsidRDefault="00194B15" w:rsidP="00064B7A">
      <w:pPr>
        <w:rPr>
          <w:rFonts w:ascii="Times New Roman" w:hAnsi="Times New Roman"/>
          <w:bCs/>
          <w:lang w:val="lv-LV"/>
        </w:rPr>
      </w:pPr>
      <w:r w:rsidRPr="0074463B">
        <w:rPr>
          <w:rFonts w:ascii="Times New Roman" w:hAnsi="Times New Roman"/>
          <w:bCs/>
          <w:lang w:val="lv-LV"/>
        </w:rPr>
        <w:t>Rīgā, 201</w:t>
      </w:r>
      <w:r w:rsidR="006B3182" w:rsidRPr="0074463B">
        <w:rPr>
          <w:rFonts w:ascii="Times New Roman" w:hAnsi="Times New Roman"/>
          <w:bCs/>
          <w:lang w:val="lv-LV"/>
        </w:rPr>
        <w:t>7</w:t>
      </w:r>
      <w:r w:rsidR="00064B7A" w:rsidRPr="0074463B">
        <w:rPr>
          <w:rFonts w:ascii="Times New Roman" w:hAnsi="Times New Roman"/>
          <w:bCs/>
          <w:lang w:val="lv-LV"/>
        </w:rPr>
        <w:t xml:space="preserve">. gada </w:t>
      </w:r>
      <w:r w:rsidR="0074463B" w:rsidRPr="0074463B">
        <w:rPr>
          <w:rFonts w:ascii="Times New Roman" w:hAnsi="Times New Roman"/>
          <w:bCs/>
          <w:lang w:val="lv-LV"/>
        </w:rPr>
        <w:t>27</w:t>
      </w:r>
      <w:r w:rsidR="00064B7A" w:rsidRPr="0074463B">
        <w:rPr>
          <w:rFonts w:ascii="Times New Roman" w:hAnsi="Times New Roman"/>
          <w:bCs/>
          <w:lang w:val="lv-LV"/>
        </w:rPr>
        <w:t>.</w:t>
      </w:r>
      <w:r w:rsidR="00BF611B" w:rsidRPr="0074463B">
        <w:rPr>
          <w:rFonts w:ascii="Times New Roman" w:hAnsi="Times New Roman"/>
          <w:bCs/>
          <w:lang w:val="lv-LV"/>
        </w:rPr>
        <w:t>jū</w:t>
      </w:r>
      <w:r w:rsidR="0074463B" w:rsidRPr="0074463B">
        <w:rPr>
          <w:rFonts w:ascii="Times New Roman" w:hAnsi="Times New Roman"/>
          <w:bCs/>
          <w:lang w:val="lv-LV"/>
        </w:rPr>
        <w:t>l</w:t>
      </w:r>
      <w:r w:rsidR="00BF611B" w:rsidRPr="0074463B">
        <w:rPr>
          <w:rFonts w:ascii="Times New Roman" w:hAnsi="Times New Roman"/>
          <w:bCs/>
          <w:lang w:val="lv-LV"/>
        </w:rPr>
        <w:t>ijā</w:t>
      </w:r>
      <w:r w:rsidR="006B4652" w:rsidRPr="0074463B">
        <w:rPr>
          <w:rFonts w:ascii="Times New Roman" w:hAnsi="Times New Roman"/>
          <w:bCs/>
          <w:lang w:val="lv-LV"/>
        </w:rPr>
        <w:t>.</w:t>
      </w:r>
    </w:p>
    <w:p w:rsidR="00064B7A" w:rsidRPr="0074463B" w:rsidRDefault="00064B7A">
      <w:pPr>
        <w:rPr>
          <w:lang w:val="lv-LV"/>
        </w:rPr>
      </w:pPr>
    </w:p>
    <w:p w:rsidR="007127ED" w:rsidRPr="0074463B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74463B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7127ED" w:rsidRPr="0074463B" w:rsidRDefault="007127ED" w:rsidP="0074463B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 Publisko i</w:t>
      </w:r>
      <w:r w:rsidR="0074463B" w:rsidRPr="0074463B">
        <w:rPr>
          <w:rFonts w:ascii="Times New Roman" w:eastAsia="Times New Roman" w:hAnsi="Times New Roman"/>
          <w:bCs/>
          <w:lang w:val="lv-LV" w:eastAsia="lv-LV"/>
        </w:rPr>
        <w:t xml:space="preserve">epirkumu likuma 9.panta kārtībā un </w:t>
      </w:r>
      <w:r w:rsidR="0074463B" w:rsidRPr="0074463B">
        <w:rPr>
          <w:rFonts w:ascii="Times New Roman" w:hAnsi="Times New Roman"/>
          <w:bCs/>
          <w:lang w:val="lv-LV" w:eastAsia="lv-LV"/>
        </w:rPr>
        <w:t>Eiropas Reģionālās attīstības fonda</w:t>
      </w:r>
      <w:r w:rsidRPr="0074463B">
        <w:rPr>
          <w:rFonts w:ascii="Times New Roman" w:hAnsi="Times New Roman"/>
          <w:bCs/>
          <w:lang w:val="lv-LV" w:eastAsia="lv-LV"/>
        </w:rPr>
        <w:t xml:space="preserve"> projekta “</w:t>
      </w:r>
      <w:proofErr w:type="spellStart"/>
      <w:r w:rsidRPr="0074463B">
        <w:rPr>
          <w:rFonts w:ascii="Times New Roman" w:hAnsi="Times New Roman"/>
          <w:bCs/>
          <w:lang w:val="lv-LV" w:eastAsia="lv-LV"/>
        </w:rPr>
        <w:t>Nanolīmenī</w:t>
      </w:r>
      <w:proofErr w:type="spellEnd"/>
      <w:r w:rsidRPr="0074463B">
        <w:rPr>
          <w:rFonts w:ascii="Times New Roman" w:hAnsi="Times New Roman"/>
          <w:bCs/>
          <w:lang w:val="lv-LV" w:eastAsia="lv-LV"/>
        </w:rPr>
        <w:t xml:space="preserve"> modificētu tekstiliju virsmu pārklājumu sintēze un enerģētiski neatkarīgas mērīšanas sistēmas integrācija </w:t>
      </w:r>
      <w:proofErr w:type="spellStart"/>
      <w:r w:rsidRPr="0074463B">
        <w:rPr>
          <w:rFonts w:ascii="Times New Roman" w:hAnsi="Times New Roman"/>
          <w:bCs/>
          <w:lang w:val="lv-LV" w:eastAsia="lv-LV"/>
        </w:rPr>
        <w:t>viedapģērbā</w:t>
      </w:r>
      <w:proofErr w:type="spellEnd"/>
      <w:r w:rsidRPr="0074463B">
        <w:rPr>
          <w:rFonts w:ascii="Times New Roman" w:hAnsi="Times New Roman"/>
          <w:bCs/>
          <w:lang w:val="lv-LV" w:eastAsia="lv-LV"/>
        </w:rPr>
        <w:t xml:space="preserve"> ar medicīnisko novērojumu funkcijām”, līguma Nr. 1.1.1.1/16/A/020 (PVS ID 2588), ietvaros un ERAF projekta </w:t>
      </w:r>
      <w:proofErr w:type="spellStart"/>
      <w:r w:rsidRPr="0074463B">
        <w:rPr>
          <w:rFonts w:ascii="Times New Roman" w:hAnsi="Times New Roman"/>
          <w:bCs/>
          <w:lang w:val="lv-LV" w:eastAsia="lv-LV"/>
        </w:rPr>
        <w:t>Interreg</w:t>
      </w:r>
      <w:proofErr w:type="spellEnd"/>
      <w:r w:rsidRPr="0074463B">
        <w:rPr>
          <w:rFonts w:ascii="Times New Roman" w:hAnsi="Times New Roman"/>
          <w:bCs/>
          <w:lang w:val="lv-LV" w:eastAsia="lv-LV"/>
        </w:rPr>
        <w:t xml:space="preserve"> Baltijas jūras reģiona transnacionālās sadarbības programmas līdzfinansētā projekta Nr. #006 “Vieds un drošs darba apģērbs” ietvaros (PVS ID 1970).</w:t>
      </w:r>
    </w:p>
    <w:p w:rsidR="00FC7B79" w:rsidRPr="0074463B" w:rsidRDefault="00194B15" w:rsidP="0074463B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lang w:val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74463B" w:rsidRPr="0074463B">
        <w:rPr>
          <w:rFonts w:ascii="Times New Roman" w:hAnsi="Times New Roman"/>
          <w:lang w:val="lv-LV"/>
        </w:rPr>
        <w:t>Palīgmateriāli laboratorijas testiem</w:t>
      </w:r>
      <w:r w:rsidR="00FC7B79" w:rsidRPr="0074463B">
        <w:rPr>
          <w:rFonts w:ascii="Times New Roman" w:hAnsi="Times New Roman"/>
          <w:bCs/>
          <w:kern w:val="56"/>
          <w:lang w:val="lv-LV"/>
        </w:rPr>
        <w:t>.</w:t>
      </w:r>
      <w:r w:rsidR="00FC7B79" w:rsidRPr="0074463B">
        <w:rPr>
          <w:rFonts w:ascii="Times New Roman" w:hAnsi="Times New Roman"/>
          <w:color w:val="000000"/>
          <w:spacing w:val="-4"/>
          <w:kern w:val="56"/>
          <w:lang w:val="lv-LV"/>
        </w:rPr>
        <w:t xml:space="preserve"> </w:t>
      </w:r>
    </w:p>
    <w:p w:rsidR="00194B15" w:rsidRPr="0074463B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lv-LV"/>
        </w:rPr>
      </w:pPr>
      <w:r w:rsidRPr="0074463B">
        <w:rPr>
          <w:rFonts w:ascii="Times New Roman" w:eastAsia="Times New Roman" w:hAnsi="Times New Roman"/>
          <w:b/>
          <w:bCs/>
          <w:lang w:val="lv-LV"/>
        </w:rPr>
        <w:t>Identifikācijas numurs:</w:t>
      </w:r>
      <w:r w:rsidR="006B3182" w:rsidRPr="0074463B">
        <w:rPr>
          <w:rFonts w:ascii="Times New Roman" w:eastAsia="Times New Roman" w:hAnsi="Times New Roman"/>
          <w:bCs/>
          <w:lang w:val="lv-LV"/>
        </w:rPr>
        <w:t xml:space="preserve"> RTU – 2017</w:t>
      </w:r>
      <w:r w:rsidR="006B4652" w:rsidRPr="0074463B">
        <w:rPr>
          <w:rFonts w:ascii="Times New Roman" w:eastAsia="Times New Roman" w:hAnsi="Times New Roman"/>
          <w:bCs/>
          <w:lang w:val="lv-LV"/>
        </w:rPr>
        <w:t>/</w:t>
      </w:r>
      <w:r w:rsidR="0074463B" w:rsidRPr="0074463B">
        <w:rPr>
          <w:rFonts w:ascii="Times New Roman" w:eastAsia="Times New Roman" w:hAnsi="Times New Roman"/>
          <w:bCs/>
          <w:lang w:val="lv-LV"/>
        </w:rPr>
        <w:t>58</w:t>
      </w:r>
      <w:r w:rsidRPr="0074463B">
        <w:rPr>
          <w:rFonts w:ascii="Times New Roman" w:eastAsia="Times New Roman" w:hAnsi="Times New Roman"/>
          <w:bCs/>
          <w:lang w:val="lv-LV"/>
        </w:rPr>
        <w:t>.</w:t>
      </w:r>
    </w:p>
    <w:p w:rsidR="00194B15" w:rsidRPr="0074463B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4463B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4463B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7" w:history="1">
        <w:r w:rsidRPr="0074463B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74463B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74463B" w:rsidRPr="0074463B">
        <w:rPr>
          <w:rFonts w:ascii="Times New Roman" w:eastAsia="Times New Roman" w:hAnsi="Times New Roman"/>
          <w:bCs/>
          <w:lang w:val="lv-LV" w:eastAsia="lv-LV"/>
        </w:rPr>
        <w:t>21</w:t>
      </w:r>
      <w:r w:rsidRPr="0074463B">
        <w:rPr>
          <w:rFonts w:ascii="Times New Roman" w:eastAsia="Times New Roman" w:hAnsi="Times New Roman"/>
          <w:bCs/>
          <w:lang w:val="lv-LV" w:eastAsia="lv-LV"/>
        </w:rPr>
        <w:t>.</w:t>
      </w:r>
      <w:r w:rsidR="0074463B" w:rsidRPr="0074463B">
        <w:rPr>
          <w:rFonts w:ascii="Times New Roman" w:eastAsia="Times New Roman" w:hAnsi="Times New Roman"/>
          <w:bCs/>
          <w:lang w:val="lv-LV" w:eastAsia="lv-LV"/>
        </w:rPr>
        <w:t>06</w:t>
      </w:r>
      <w:r w:rsidRPr="0074463B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74463B">
        <w:rPr>
          <w:rFonts w:ascii="Times New Roman" w:eastAsia="Times New Roman" w:hAnsi="Times New Roman"/>
          <w:bCs/>
          <w:lang w:val="lv-LV" w:eastAsia="lv-LV"/>
        </w:rPr>
        <w:t>7</w:t>
      </w:r>
      <w:r w:rsidRPr="0074463B">
        <w:rPr>
          <w:rFonts w:ascii="Times New Roman" w:eastAsia="Times New Roman" w:hAnsi="Times New Roman"/>
          <w:bCs/>
          <w:lang w:val="lv-LV" w:eastAsia="lv-LV"/>
        </w:rPr>
        <w:t>.</w:t>
      </w:r>
    </w:p>
    <w:p w:rsidR="00BF611B" w:rsidRPr="0074463B" w:rsidRDefault="00194B15" w:rsidP="00BF611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74463B">
        <w:rPr>
          <w:rFonts w:ascii="Times New Roman" w:hAnsi="Times New Roman"/>
          <w:lang w:val="lv-LV"/>
        </w:rPr>
        <w:t>21</w:t>
      </w:r>
      <w:r w:rsidR="00FC7B79" w:rsidRPr="0074463B">
        <w:rPr>
          <w:rFonts w:ascii="Times New Roman" w:hAnsi="Times New Roman"/>
          <w:lang w:val="lv-LV"/>
        </w:rPr>
        <w:t>.0</w:t>
      </w:r>
      <w:r w:rsidR="0074463B">
        <w:rPr>
          <w:rFonts w:ascii="Times New Roman" w:hAnsi="Times New Roman"/>
          <w:lang w:val="lv-LV"/>
        </w:rPr>
        <w:t>6.2017.rīkojumu Nr.03000-1.2/61</w:t>
      </w:r>
      <w:r w:rsidR="00BF611B" w:rsidRPr="0074463B">
        <w:rPr>
          <w:rFonts w:ascii="Times New Roman" w:eastAsia="Times New Roman" w:hAnsi="Times New Roman"/>
          <w:bCs/>
          <w:lang w:val="lv-LV" w:eastAsia="lv-LV"/>
        </w:rPr>
        <w:t>.</w:t>
      </w:r>
    </w:p>
    <w:p w:rsidR="00FC7B79" w:rsidRPr="0074463B" w:rsidRDefault="00194B15" w:rsidP="0074463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74463B">
        <w:rPr>
          <w:rFonts w:ascii="Times New Roman" w:eastAsia="Times New Roman" w:hAnsi="Times New Roman"/>
          <w:lang w:val="lv-LV" w:eastAsia="lv-LV"/>
        </w:rPr>
        <w:t xml:space="preserve"> </w:t>
      </w:r>
      <w:proofErr w:type="spellStart"/>
      <w:r w:rsidR="00FC7B79" w:rsidRPr="0074463B">
        <w:rPr>
          <w:rFonts w:ascii="Times New Roman" w:hAnsi="Times New Roman"/>
          <w:bCs/>
          <w:szCs w:val="22"/>
          <w:lang w:eastAsia="lv-LV"/>
        </w:rPr>
        <w:t>Palīgmateriāli</w:t>
      </w:r>
      <w:proofErr w:type="spellEnd"/>
      <w:r w:rsidR="00FC7B79" w:rsidRPr="0074463B">
        <w:rPr>
          <w:rFonts w:ascii="Times New Roman" w:hAnsi="Times New Roman"/>
          <w:bCs/>
          <w:szCs w:val="22"/>
          <w:lang w:eastAsia="lv-LV"/>
        </w:rPr>
        <w:t xml:space="preserve"> </w:t>
      </w:r>
      <w:proofErr w:type="spellStart"/>
      <w:r w:rsidR="00FC7B79" w:rsidRPr="0074463B">
        <w:rPr>
          <w:rFonts w:ascii="Times New Roman" w:hAnsi="Times New Roman"/>
          <w:bCs/>
          <w:szCs w:val="22"/>
          <w:lang w:eastAsia="lv-LV"/>
        </w:rPr>
        <w:t>laboratorijas</w:t>
      </w:r>
      <w:proofErr w:type="spellEnd"/>
      <w:r w:rsidR="00FC7B79" w:rsidRPr="0074463B">
        <w:rPr>
          <w:rFonts w:ascii="Times New Roman" w:hAnsi="Times New Roman"/>
          <w:bCs/>
          <w:szCs w:val="22"/>
          <w:lang w:eastAsia="lv-LV"/>
        </w:rPr>
        <w:t xml:space="preserve"> </w:t>
      </w:r>
      <w:proofErr w:type="spellStart"/>
      <w:r w:rsidR="00FC7B79" w:rsidRPr="0074463B">
        <w:rPr>
          <w:rFonts w:ascii="Times New Roman" w:hAnsi="Times New Roman"/>
          <w:bCs/>
          <w:szCs w:val="22"/>
          <w:lang w:eastAsia="lv-LV"/>
        </w:rPr>
        <w:t>testiem</w:t>
      </w:r>
      <w:proofErr w:type="spellEnd"/>
      <w:r w:rsidR="00FC7B79" w:rsidRPr="0074463B">
        <w:rPr>
          <w:rFonts w:ascii="Times New Roman" w:hAnsi="Times New Roman"/>
          <w:bCs/>
          <w:szCs w:val="22"/>
          <w:lang w:eastAsia="lv-LV"/>
        </w:rPr>
        <w:t>. Galvenā priekšmeta CPV kods: 19000000-6 (Āda un audumi, plastmasas materiāli un gumija) papildus CPV kods: 24000000-4 (Ķīmiskie produkti).</w:t>
      </w:r>
    </w:p>
    <w:p w:rsidR="00194B15" w:rsidRPr="0074463B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6B4652" w:rsidRPr="0074463B" w:rsidTr="00291A80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7446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74463B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Piedāvātā līgumcena</w:t>
            </w:r>
          </w:p>
          <w:p w:rsidR="006B4652" w:rsidRPr="0074463B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EUR, bez PVN</w:t>
            </w:r>
          </w:p>
        </w:tc>
      </w:tr>
      <w:tr w:rsidR="00344EDD" w:rsidRPr="0074463B" w:rsidTr="00291A8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74463B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74463B" w:rsidRDefault="00FC7B79" w:rsidP="0074463B">
            <w:pPr>
              <w:jc w:val="center"/>
              <w:rPr>
                <w:rFonts w:ascii="Times New Roman" w:hAnsi="Times New Roman"/>
                <w:lang w:val="lv-LV"/>
              </w:rPr>
            </w:pPr>
            <w:r w:rsidRPr="0074463B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 w:rsidR="0074463B">
              <w:rPr>
                <w:rFonts w:ascii="Times New Roman" w:hAnsi="Times New Roman"/>
                <w:lang w:val="lv-LV"/>
              </w:rPr>
              <w:t>Derox</w:t>
            </w:r>
            <w:proofErr w:type="spellEnd"/>
            <w:r w:rsidRPr="0074463B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74463B" w:rsidRDefault="0074463B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3961</w:t>
            </w:r>
            <w:r w:rsidR="00FC7B79" w:rsidRPr="0074463B">
              <w:rPr>
                <w:rFonts w:ascii="Times New Roman" w:hAnsi="Times New Roman"/>
                <w:lang w:val="lv-LV"/>
              </w:rPr>
              <w:t>,00</w:t>
            </w:r>
          </w:p>
        </w:tc>
      </w:tr>
    </w:tbl>
    <w:p w:rsidR="00194B15" w:rsidRPr="0074463B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6B4652" w:rsidRPr="0074463B" w:rsidTr="00993E6F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74463B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74463B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Atbilst/Neatbilst</w:t>
            </w:r>
          </w:p>
        </w:tc>
      </w:tr>
      <w:tr w:rsidR="00FC7B79" w:rsidRPr="0074463B" w:rsidTr="00993E6F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FC7B79" w:rsidP="00FC7B7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FC7B79" w:rsidP="0074463B">
            <w:pPr>
              <w:jc w:val="center"/>
              <w:rPr>
                <w:rFonts w:ascii="Times New Roman" w:hAnsi="Times New Roman"/>
                <w:lang w:val="lv-LV"/>
              </w:rPr>
            </w:pPr>
            <w:r w:rsidRPr="0074463B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 w:rsidR="0074463B">
              <w:rPr>
                <w:rFonts w:ascii="Times New Roman" w:hAnsi="Times New Roman"/>
                <w:lang w:val="lv-LV"/>
              </w:rPr>
              <w:t>Derox</w:t>
            </w:r>
            <w:proofErr w:type="spellEnd"/>
            <w:r w:rsidRPr="0074463B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74463B" w:rsidP="00FC7B79">
            <w:pPr>
              <w:spacing w:line="276" w:lineRule="auto"/>
              <w:jc w:val="center"/>
              <w:rPr>
                <w:rFonts w:ascii="Times New Roman" w:hAnsi="Times New Roman"/>
                <w:bCs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>Neatbilst</w:t>
            </w:r>
          </w:p>
        </w:tc>
      </w:tr>
    </w:tbl>
    <w:p w:rsidR="0032523D" w:rsidRDefault="0032523D" w:rsidP="0032523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>
        <w:rPr>
          <w:rFonts w:ascii="Times New Roman" w:hAnsi="Times New Roman"/>
          <w:bCs/>
          <w:lang w:val="lv-LV" w:eastAsia="lv-LV"/>
        </w:rPr>
        <w:t>9</w:t>
      </w:r>
      <w:r w:rsidRPr="00291A80">
        <w:rPr>
          <w:rFonts w:ascii="Times New Roman" w:hAnsi="Times New Roman"/>
          <w:bCs/>
          <w:lang w:val="lv-LV" w:eastAsia="lv-LV"/>
        </w:rPr>
        <w:t>.1. Iepirkuma komisija veicot pretendentu piedāvājumos iesniegtās informācijas pārbaudi secināja, ka pretendents</w:t>
      </w:r>
      <w:r>
        <w:rPr>
          <w:rFonts w:ascii="Times New Roman" w:hAnsi="Times New Roman"/>
          <w:bCs/>
          <w:lang w:val="lv-LV" w:eastAsia="lv-LV"/>
        </w:rPr>
        <w:t xml:space="preserve"> </w:t>
      </w:r>
      <w:r w:rsidRPr="0074463B">
        <w:rPr>
          <w:rFonts w:ascii="Times New Roman" w:hAnsi="Times New Roman"/>
          <w:lang w:val="lv-LV"/>
        </w:rPr>
        <w:t>SIA “</w:t>
      </w:r>
      <w:proofErr w:type="spellStart"/>
      <w:r>
        <w:rPr>
          <w:rFonts w:ascii="Times New Roman" w:hAnsi="Times New Roman"/>
          <w:lang w:val="lv-LV"/>
        </w:rPr>
        <w:t>Derox</w:t>
      </w:r>
      <w:proofErr w:type="spellEnd"/>
      <w:r w:rsidRPr="0074463B">
        <w:rPr>
          <w:rFonts w:ascii="Times New Roman" w:hAnsi="Times New Roman"/>
          <w:lang w:val="lv-LV"/>
        </w:rPr>
        <w:t>”</w:t>
      </w:r>
      <w:r w:rsidRPr="00291A80">
        <w:rPr>
          <w:rFonts w:ascii="Times New Roman" w:hAnsi="Times New Roman"/>
          <w:bCs/>
          <w:lang w:val="lv-LV" w:eastAsia="lv-LV"/>
        </w:rPr>
        <w:t>:</w:t>
      </w:r>
    </w:p>
    <w:p w:rsidR="0032523D" w:rsidRDefault="004E1B98" w:rsidP="0032523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>
        <w:rPr>
          <w:rFonts w:ascii="Times New Roman" w:hAnsi="Times New Roman"/>
          <w:bCs/>
          <w:lang w:val="lv-LV" w:eastAsia="lv-LV"/>
        </w:rPr>
        <w:t>T</w:t>
      </w:r>
      <w:r w:rsidR="0032523D" w:rsidRPr="0032523D">
        <w:rPr>
          <w:rFonts w:ascii="Times New Roman" w:hAnsi="Times New Roman"/>
          <w:bCs/>
          <w:lang w:val="lv-LV" w:eastAsia="lv-LV"/>
        </w:rPr>
        <w:t xml:space="preserve">ehniskā piedāvājuma pozīcijā Nr.1 piedāvā ražotāja SDL </w:t>
      </w:r>
      <w:proofErr w:type="spellStart"/>
      <w:r w:rsidR="0032523D" w:rsidRPr="0032523D">
        <w:rPr>
          <w:rFonts w:ascii="Times New Roman" w:hAnsi="Times New Roman"/>
          <w:bCs/>
          <w:lang w:val="lv-LV" w:eastAsia="lv-LV"/>
        </w:rPr>
        <w:t>Atlas</w:t>
      </w:r>
      <w:proofErr w:type="spellEnd"/>
      <w:r w:rsidR="0032523D" w:rsidRPr="0032523D">
        <w:rPr>
          <w:rFonts w:ascii="Times New Roman" w:hAnsi="Times New Roman"/>
          <w:bCs/>
          <w:lang w:val="lv-LV" w:eastAsia="lv-LV"/>
        </w:rPr>
        <w:t xml:space="preserve"> Standarta vilnas </w:t>
      </w:r>
      <w:proofErr w:type="spellStart"/>
      <w:r w:rsidR="0032523D" w:rsidRPr="0032523D">
        <w:rPr>
          <w:rFonts w:ascii="Times New Roman" w:hAnsi="Times New Roman"/>
          <w:bCs/>
          <w:lang w:val="lv-LV" w:eastAsia="lv-LV"/>
        </w:rPr>
        <w:t>abrazīvaudums</w:t>
      </w:r>
      <w:proofErr w:type="spellEnd"/>
      <w:r w:rsidR="0032523D" w:rsidRPr="0032523D">
        <w:rPr>
          <w:rFonts w:ascii="Times New Roman" w:hAnsi="Times New Roman"/>
          <w:bCs/>
          <w:lang w:val="lv-LV" w:eastAsia="lv-LV"/>
        </w:rPr>
        <w:t xml:space="preserve"> nodilumizturības un </w:t>
      </w:r>
      <w:proofErr w:type="spellStart"/>
      <w:r w:rsidR="0032523D" w:rsidRPr="0032523D">
        <w:rPr>
          <w:rFonts w:ascii="Times New Roman" w:hAnsi="Times New Roman"/>
          <w:bCs/>
          <w:lang w:val="lv-LV" w:eastAsia="lv-LV"/>
        </w:rPr>
        <w:t>pilingsliecības</w:t>
      </w:r>
      <w:proofErr w:type="spellEnd"/>
      <w:r w:rsidR="0032523D" w:rsidRPr="0032523D">
        <w:rPr>
          <w:rFonts w:ascii="Times New Roman" w:hAnsi="Times New Roman"/>
          <w:bCs/>
          <w:lang w:val="lv-LV" w:eastAsia="lv-LV"/>
        </w:rPr>
        <w:t xml:space="preserve"> testēšanai, izmantojot </w:t>
      </w:r>
      <w:proofErr w:type="spellStart"/>
      <w:r w:rsidR="0032523D" w:rsidRPr="0032523D">
        <w:rPr>
          <w:rFonts w:ascii="Times New Roman" w:hAnsi="Times New Roman"/>
          <w:bCs/>
          <w:lang w:val="lv-LV" w:eastAsia="lv-LV"/>
        </w:rPr>
        <w:t>Martindeila</w:t>
      </w:r>
      <w:proofErr w:type="spellEnd"/>
      <w:r w:rsidR="0032523D" w:rsidRPr="0032523D">
        <w:rPr>
          <w:rFonts w:ascii="Times New Roman" w:hAnsi="Times New Roman"/>
          <w:bCs/>
          <w:lang w:val="lv-LV" w:eastAsia="lv-LV"/>
        </w:rPr>
        <w:t xml:space="preserve"> testeri (ražotāja kataloga kods 2016). Komisija pārbaudot informāciju katalogā konstatēja, ka šāds preces kods katalogā neeksistē.</w:t>
      </w:r>
      <w:r w:rsidR="0032523D">
        <w:rPr>
          <w:rFonts w:ascii="Times New Roman" w:hAnsi="Times New Roman"/>
          <w:bCs/>
          <w:lang w:val="lv-LV" w:eastAsia="lv-LV"/>
        </w:rPr>
        <w:t xml:space="preserve"> </w:t>
      </w:r>
    </w:p>
    <w:p w:rsidR="0032523D" w:rsidRDefault="004E1B98" w:rsidP="0032523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>
        <w:rPr>
          <w:rFonts w:ascii="Times New Roman" w:hAnsi="Times New Roman"/>
          <w:bCs/>
          <w:lang w:val="lv-LV" w:eastAsia="lv-LV"/>
        </w:rPr>
        <w:t>T</w:t>
      </w:r>
      <w:r w:rsidR="0032523D" w:rsidRPr="0032523D">
        <w:rPr>
          <w:rFonts w:ascii="Times New Roman" w:hAnsi="Times New Roman"/>
          <w:bCs/>
          <w:lang w:val="lv-LV" w:eastAsia="lv-LV"/>
        </w:rPr>
        <w:t xml:space="preserve">ehniskā piedāvājuma pozīcijā Nr.3 piedāvā ražotāja SDL </w:t>
      </w:r>
      <w:proofErr w:type="spellStart"/>
      <w:r w:rsidR="0032523D" w:rsidRPr="0032523D">
        <w:rPr>
          <w:rFonts w:ascii="Times New Roman" w:hAnsi="Times New Roman"/>
          <w:bCs/>
          <w:lang w:val="lv-LV" w:eastAsia="lv-LV"/>
        </w:rPr>
        <w:t>Atlas</w:t>
      </w:r>
      <w:proofErr w:type="spellEnd"/>
      <w:r w:rsidR="0032523D" w:rsidRPr="0032523D">
        <w:rPr>
          <w:rFonts w:ascii="Times New Roman" w:hAnsi="Times New Roman"/>
          <w:bCs/>
          <w:lang w:val="lv-LV" w:eastAsia="lv-LV"/>
        </w:rPr>
        <w:t xml:space="preserve"> Poliuretāna putu materiālu ( ražotāja kataloga kods 2021). Komisija pārbaudot informāciju katalogā konstatēja, ka šāds preces kods katalogā neeksistē.</w:t>
      </w:r>
    </w:p>
    <w:p w:rsidR="0032523D" w:rsidRDefault="004E1B98" w:rsidP="0032523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>
        <w:rPr>
          <w:rFonts w:ascii="Times New Roman" w:hAnsi="Times New Roman"/>
          <w:bCs/>
          <w:lang w:val="lv-LV" w:eastAsia="lv-LV"/>
        </w:rPr>
        <w:t>T</w:t>
      </w:r>
      <w:bookmarkStart w:id="0" w:name="_GoBack"/>
      <w:bookmarkEnd w:id="0"/>
      <w:r w:rsidR="0032523D" w:rsidRPr="0032523D">
        <w:rPr>
          <w:rFonts w:ascii="Times New Roman" w:hAnsi="Times New Roman"/>
          <w:bCs/>
          <w:lang w:val="lv-LV" w:eastAsia="lv-LV"/>
        </w:rPr>
        <w:t xml:space="preserve">ehniskā piedāvājuma pozīcijā Nr.4 piedāvā ražotāja SDL </w:t>
      </w:r>
      <w:proofErr w:type="spellStart"/>
      <w:r w:rsidR="0032523D" w:rsidRPr="0032523D">
        <w:rPr>
          <w:rFonts w:ascii="Times New Roman" w:hAnsi="Times New Roman"/>
          <w:bCs/>
          <w:lang w:val="lv-LV" w:eastAsia="lv-LV"/>
        </w:rPr>
        <w:t>Atlas</w:t>
      </w:r>
      <w:proofErr w:type="spellEnd"/>
      <w:r w:rsidR="0032523D" w:rsidRPr="0032523D">
        <w:rPr>
          <w:rFonts w:ascii="Times New Roman" w:hAnsi="Times New Roman"/>
          <w:bCs/>
          <w:lang w:val="lv-LV" w:eastAsia="lv-LV"/>
        </w:rPr>
        <w:t xml:space="preserve"> standarta baltā balinātā kokvilnas auduma gabaliņus krāsnoturības testēšanai sausā un slapjā noberzē (ražotāja kataloga kods 1324). Komisija pārbaudot informāciju katalogā konstatēja, ka šāds preces kods katalogā neeksistē.</w:t>
      </w:r>
    </w:p>
    <w:p w:rsidR="0032523D" w:rsidRPr="00291A80" w:rsidRDefault="0032523D" w:rsidP="0032523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>
        <w:rPr>
          <w:rFonts w:ascii="Times New Roman" w:hAnsi="Times New Roman"/>
          <w:bCs/>
          <w:lang w:val="lv-LV" w:eastAsia="lv-LV"/>
        </w:rPr>
        <w:lastRenderedPageBreak/>
        <w:t>Ņemot vērā, ka piedāvājuma pozīcijās Nr.1, Nr.3 un Nr.4 norādīta neprecīza inform</w:t>
      </w:r>
      <w:r w:rsidR="00A265C0">
        <w:rPr>
          <w:rFonts w:ascii="Times New Roman" w:hAnsi="Times New Roman"/>
          <w:bCs/>
          <w:lang w:val="lv-LV" w:eastAsia="lv-LV"/>
        </w:rPr>
        <w:t>ācija komisija</w:t>
      </w:r>
      <w:r>
        <w:rPr>
          <w:rFonts w:ascii="Times New Roman" w:hAnsi="Times New Roman"/>
          <w:bCs/>
          <w:lang w:val="lv-LV" w:eastAsia="lv-LV"/>
        </w:rPr>
        <w:t>, p</w:t>
      </w:r>
      <w:r w:rsidRPr="0032523D">
        <w:rPr>
          <w:rFonts w:ascii="Times New Roman" w:hAnsi="Times New Roman"/>
          <w:bCs/>
          <w:lang w:val="lv-LV" w:eastAsia="lv-LV"/>
        </w:rPr>
        <w:t>amatojoties uz Publisko iepirkumu likuma 41.panta sesto daļu</w:t>
      </w:r>
      <w:r w:rsidR="00A265C0">
        <w:rPr>
          <w:rFonts w:ascii="Times New Roman" w:hAnsi="Times New Roman"/>
          <w:bCs/>
          <w:lang w:val="lv-LV" w:eastAsia="lv-LV"/>
        </w:rPr>
        <w:t>,</w:t>
      </w:r>
      <w:r w:rsidRPr="0032523D">
        <w:rPr>
          <w:rFonts w:ascii="Times New Roman" w:hAnsi="Times New Roman"/>
          <w:bCs/>
          <w:lang w:val="lv-LV" w:eastAsia="lv-LV"/>
        </w:rPr>
        <w:t xml:space="preserve"> </w:t>
      </w:r>
      <w:r>
        <w:rPr>
          <w:rFonts w:ascii="Times New Roman" w:hAnsi="Times New Roman"/>
          <w:bCs/>
          <w:lang w:val="lv-LV" w:eastAsia="lv-LV"/>
        </w:rPr>
        <w:t>lūdza</w:t>
      </w:r>
      <w:r w:rsidRPr="0032523D">
        <w:rPr>
          <w:rFonts w:ascii="Times New Roman" w:hAnsi="Times New Roman"/>
          <w:bCs/>
          <w:lang w:val="lv-LV" w:eastAsia="lv-LV"/>
        </w:rPr>
        <w:t xml:space="preserve"> pretendentam SIA “</w:t>
      </w:r>
      <w:proofErr w:type="spellStart"/>
      <w:r w:rsidRPr="0032523D">
        <w:rPr>
          <w:rFonts w:ascii="Times New Roman" w:hAnsi="Times New Roman"/>
          <w:bCs/>
          <w:lang w:val="lv-LV" w:eastAsia="lv-LV"/>
        </w:rPr>
        <w:t>Derox</w:t>
      </w:r>
      <w:proofErr w:type="spellEnd"/>
      <w:r w:rsidRPr="0032523D">
        <w:rPr>
          <w:rFonts w:ascii="Times New Roman" w:hAnsi="Times New Roman"/>
          <w:bCs/>
          <w:lang w:val="lv-LV" w:eastAsia="lv-LV"/>
        </w:rPr>
        <w:t>” izskaidrot piedāvājumā iekļauto informāciju</w:t>
      </w:r>
      <w:r>
        <w:rPr>
          <w:rFonts w:ascii="Times New Roman" w:hAnsi="Times New Roman"/>
          <w:bCs/>
          <w:lang w:val="lv-LV" w:eastAsia="lv-LV"/>
        </w:rPr>
        <w:t>. Komisija i</w:t>
      </w:r>
      <w:r w:rsidRPr="0032523D">
        <w:rPr>
          <w:rFonts w:ascii="Times New Roman" w:hAnsi="Times New Roman"/>
          <w:bCs/>
          <w:lang w:val="lv-LV" w:eastAsia="lv-LV"/>
        </w:rPr>
        <w:t>zvērtējot pretendenta SIA "</w:t>
      </w:r>
      <w:proofErr w:type="spellStart"/>
      <w:r w:rsidRPr="0032523D">
        <w:rPr>
          <w:rFonts w:ascii="Times New Roman" w:hAnsi="Times New Roman"/>
          <w:bCs/>
          <w:lang w:val="lv-LV" w:eastAsia="lv-LV"/>
        </w:rPr>
        <w:t>Derox</w:t>
      </w:r>
      <w:proofErr w:type="spellEnd"/>
      <w:r w:rsidRPr="0032523D">
        <w:rPr>
          <w:rFonts w:ascii="Times New Roman" w:hAnsi="Times New Roman"/>
          <w:bCs/>
          <w:lang w:val="lv-LV" w:eastAsia="lv-LV"/>
        </w:rPr>
        <w:t>" iesniegto papildus informāc</w:t>
      </w:r>
      <w:r>
        <w:rPr>
          <w:rFonts w:ascii="Times New Roman" w:hAnsi="Times New Roman"/>
          <w:bCs/>
          <w:lang w:val="lv-LV" w:eastAsia="lv-LV"/>
        </w:rPr>
        <w:t>iju, secināja, ka pretendents</w:t>
      </w:r>
      <w:r w:rsidRPr="0032523D">
        <w:rPr>
          <w:rFonts w:ascii="Times New Roman" w:hAnsi="Times New Roman"/>
          <w:bCs/>
          <w:lang w:val="lv-LV" w:eastAsia="lv-LV"/>
        </w:rPr>
        <w:t xml:space="preserve"> grozījis savu piedāvājumu, jo </w:t>
      </w:r>
      <w:r>
        <w:rPr>
          <w:rFonts w:ascii="Times New Roman" w:hAnsi="Times New Roman"/>
          <w:bCs/>
          <w:lang w:val="lv-LV" w:eastAsia="lv-LV"/>
        </w:rPr>
        <w:t xml:space="preserve">pretendents </w:t>
      </w:r>
      <w:r w:rsidR="00A265C0">
        <w:rPr>
          <w:rFonts w:ascii="Times New Roman" w:hAnsi="Times New Roman"/>
          <w:bCs/>
          <w:lang w:val="lv-LV" w:eastAsia="lv-LV"/>
        </w:rPr>
        <w:t>piedāvājumā</w:t>
      </w:r>
      <w:r w:rsidRPr="0032523D">
        <w:rPr>
          <w:rFonts w:ascii="Times New Roman" w:hAnsi="Times New Roman"/>
          <w:bCs/>
          <w:lang w:val="lv-LV" w:eastAsia="lv-LV"/>
        </w:rPr>
        <w:t xml:space="preserve"> pozīcijās Nr.1, Nr.3, Nr.4 norādījis ka preču ražotājs ir SDL </w:t>
      </w:r>
      <w:proofErr w:type="spellStart"/>
      <w:r w:rsidRPr="0032523D">
        <w:rPr>
          <w:rFonts w:ascii="Times New Roman" w:hAnsi="Times New Roman"/>
          <w:bCs/>
          <w:lang w:val="lv-LV" w:eastAsia="lv-LV"/>
        </w:rPr>
        <w:t>Atlas</w:t>
      </w:r>
      <w:proofErr w:type="spellEnd"/>
      <w:r w:rsidRPr="0032523D">
        <w:rPr>
          <w:rFonts w:ascii="Times New Roman" w:hAnsi="Times New Roman"/>
          <w:bCs/>
          <w:lang w:val="lv-LV" w:eastAsia="lv-LV"/>
        </w:rPr>
        <w:t xml:space="preserve">, taču atbildot uz komisijas uzdotajiem jautājumiem, pretendents norādījis ka pozīcijās Nr.1, Nr.3, Nr.4 norādītājām </w:t>
      </w:r>
      <w:r w:rsidR="00A265C0">
        <w:rPr>
          <w:rFonts w:ascii="Times New Roman" w:hAnsi="Times New Roman"/>
          <w:bCs/>
          <w:lang w:val="lv-LV" w:eastAsia="lv-LV"/>
        </w:rPr>
        <w:t>precēm ir</w:t>
      </w:r>
      <w:r w:rsidRPr="0032523D">
        <w:rPr>
          <w:rFonts w:ascii="Times New Roman" w:hAnsi="Times New Roman"/>
          <w:bCs/>
          <w:lang w:val="lv-LV" w:eastAsia="lv-LV"/>
        </w:rPr>
        <w:t xml:space="preserve"> ražotājs </w:t>
      </w:r>
      <w:r w:rsidR="00A265C0">
        <w:rPr>
          <w:rFonts w:ascii="Times New Roman" w:hAnsi="Times New Roman"/>
          <w:bCs/>
          <w:lang w:val="lv-LV" w:eastAsia="lv-LV"/>
        </w:rPr>
        <w:t xml:space="preserve">ir </w:t>
      </w:r>
      <w:r w:rsidRPr="0032523D">
        <w:rPr>
          <w:rFonts w:ascii="Times New Roman" w:hAnsi="Times New Roman"/>
          <w:bCs/>
          <w:lang w:val="lv-LV" w:eastAsia="lv-LV"/>
        </w:rPr>
        <w:t>SDC Enterprises</w:t>
      </w:r>
      <w:r w:rsidR="00A265C0">
        <w:rPr>
          <w:rFonts w:ascii="Times New Roman" w:hAnsi="Times New Roman"/>
          <w:bCs/>
          <w:lang w:val="lv-LV" w:eastAsia="lv-LV"/>
        </w:rPr>
        <w:t>, kas atšķiras no pretendenta piedāvājumā norādītās informācijas</w:t>
      </w:r>
      <w:r w:rsidRPr="0032523D">
        <w:rPr>
          <w:rFonts w:ascii="Times New Roman" w:hAnsi="Times New Roman"/>
          <w:bCs/>
          <w:lang w:val="lv-LV" w:eastAsia="lv-LV"/>
        </w:rPr>
        <w:t>. Ņemot vērā iepriekš minēto, komisija secināja, ka tehniskais piedāvājums neatbilst nolikuma 2.5. punktam, kas nosaka, ka pēc piedāvājumu iesniegšanas termiņa beigām pretendents nevar savu piedāvājumu grozīt.</w:t>
      </w:r>
    </w:p>
    <w:p w:rsidR="00993E6F" w:rsidRPr="0074463B" w:rsidRDefault="00194B15" w:rsidP="00A265C0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hAnsi="Times New Roman"/>
          <w:bCs/>
          <w:lang w:val="lv-LV" w:eastAsia="lv-LV"/>
        </w:rPr>
      </w:pPr>
      <w:r w:rsidRPr="0074463B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74463B">
        <w:rPr>
          <w:rFonts w:ascii="Times New Roman" w:hAnsi="Times New Roman"/>
          <w:bCs/>
          <w:lang w:val="lv-LV" w:eastAsia="lv-LV"/>
        </w:rPr>
        <w:t xml:space="preserve"> </w:t>
      </w:r>
      <w:r w:rsidR="00344EDD" w:rsidRPr="0074463B">
        <w:rPr>
          <w:rFonts w:ascii="Times New Roman" w:hAnsi="Times New Roman"/>
          <w:bCs/>
          <w:lang w:val="lv-LV" w:eastAsia="lv-LV"/>
        </w:rPr>
        <w:t>prasībām atbilstošs saimnieciski izdevīgākais piedāvājums ar viszemāko cenu</w:t>
      </w:r>
      <w:r w:rsidRPr="0074463B">
        <w:rPr>
          <w:rFonts w:ascii="Times New Roman" w:hAnsi="Times New Roman"/>
          <w:bCs/>
          <w:lang w:val="lv-LV" w:eastAsia="lv-LV"/>
        </w:rPr>
        <w:t>.</w:t>
      </w:r>
    </w:p>
    <w:p w:rsidR="00BF611B" w:rsidRPr="0074463B" w:rsidRDefault="00BF611B" w:rsidP="00993E6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625" w:hanging="426"/>
        <w:jc w:val="both"/>
        <w:rPr>
          <w:rFonts w:ascii="Times New Roman" w:hAnsi="Times New Roman"/>
          <w:bCs/>
          <w:lang w:val="lv-LV" w:eastAsia="lv-LV"/>
        </w:rPr>
      </w:pPr>
      <w:r w:rsidRPr="0074463B">
        <w:rPr>
          <w:rFonts w:ascii="Times New Roman" w:hAnsi="Times New Roman"/>
          <w:b/>
          <w:bCs/>
          <w:lang w:val="lv-LV" w:eastAsia="lv-LV"/>
        </w:rPr>
        <w:t xml:space="preserve">Lēmums: </w:t>
      </w:r>
      <w:r w:rsidRPr="0074463B">
        <w:rPr>
          <w:rFonts w:ascii="Times New Roman" w:hAnsi="Times New Roman"/>
          <w:bCs/>
          <w:lang w:val="lv-LV" w:eastAsia="lv-LV"/>
        </w:rPr>
        <w:t xml:space="preserve">Atbilstoši Publisko iepirkumu likuma 9.panta piecpadsmitajai daļai, iepirkuma komisija vienbalsīgi nolēma pārtraukt iepirkumu, jo </w:t>
      </w:r>
      <w:r w:rsidR="0032523D">
        <w:rPr>
          <w:rFonts w:ascii="Times New Roman" w:hAnsi="Times New Roman"/>
          <w:bCs/>
          <w:lang w:val="lv-LV" w:eastAsia="lv-LV"/>
        </w:rPr>
        <w:t>vienīgā pretendenta piedāvājums neatbilst nolikuma prasībām</w:t>
      </w:r>
      <w:r w:rsidRPr="0074463B">
        <w:rPr>
          <w:rFonts w:ascii="Times New Roman" w:hAnsi="Times New Roman"/>
          <w:bCs/>
          <w:lang w:val="lv-LV" w:eastAsia="lv-LV"/>
        </w:rPr>
        <w:t>.</w:t>
      </w:r>
    </w:p>
    <w:p w:rsidR="00BF611B" w:rsidRPr="0074463B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74463B">
        <w:rPr>
          <w:rFonts w:ascii="Times New Roman" w:eastAsia="Times New Roman" w:hAnsi="Times New Roman"/>
          <w:lang w:val="lv-LV" w:eastAsia="lv-LV"/>
        </w:rPr>
        <w:t xml:space="preserve"> </w:t>
      </w:r>
      <w:r w:rsidR="0032523D">
        <w:rPr>
          <w:rFonts w:ascii="Times New Roman" w:eastAsia="Times New Roman" w:hAnsi="Times New Roman"/>
          <w:lang w:val="lv-LV" w:eastAsia="lv-LV"/>
        </w:rPr>
        <w:t>27</w:t>
      </w:r>
      <w:r w:rsidRPr="0074463B">
        <w:rPr>
          <w:rFonts w:ascii="Times New Roman" w:eastAsia="Times New Roman" w:hAnsi="Times New Roman"/>
          <w:lang w:val="lv-LV" w:eastAsia="lv-LV"/>
        </w:rPr>
        <w:t>.</w:t>
      </w:r>
      <w:r w:rsidR="006B3182" w:rsidRPr="0074463B">
        <w:rPr>
          <w:rFonts w:ascii="Times New Roman" w:eastAsia="Times New Roman" w:hAnsi="Times New Roman"/>
          <w:lang w:val="lv-LV" w:eastAsia="lv-LV"/>
        </w:rPr>
        <w:t>0</w:t>
      </w:r>
      <w:r w:rsidR="0032523D">
        <w:rPr>
          <w:rFonts w:ascii="Times New Roman" w:eastAsia="Times New Roman" w:hAnsi="Times New Roman"/>
          <w:lang w:val="lv-LV" w:eastAsia="lv-LV"/>
        </w:rPr>
        <w:t>7</w:t>
      </w:r>
      <w:r w:rsidRPr="0074463B">
        <w:rPr>
          <w:rFonts w:ascii="Times New Roman" w:eastAsia="Times New Roman" w:hAnsi="Times New Roman"/>
          <w:lang w:val="lv-LV" w:eastAsia="lv-LV"/>
        </w:rPr>
        <w:t>.201</w:t>
      </w:r>
      <w:r w:rsidR="006B3182" w:rsidRPr="0074463B">
        <w:rPr>
          <w:rFonts w:ascii="Times New Roman" w:eastAsia="Times New Roman" w:hAnsi="Times New Roman"/>
          <w:lang w:val="lv-LV" w:eastAsia="lv-LV"/>
        </w:rPr>
        <w:t>7</w:t>
      </w:r>
      <w:r w:rsidRPr="0074463B">
        <w:rPr>
          <w:rFonts w:ascii="Times New Roman" w:eastAsia="Times New Roman" w:hAnsi="Times New Roman"/>
          <w:lang w:val="lv-LV" w:eastAsia="lv-LV"/>
        </w:rPr>
        <w:t>.</w:t>
      </w:r>
    </w:p>
    <w:p w:rsidR="00064B7A" w:rsidRPr="0074463B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74463B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74463B" w:rsidRDefault="00064B7A">
      <w:pPr>
        <w:rPr>
          <w:lang w:val="lv-LV"/>
        </w:rPr>
      </w:pPr>
    </w:p>
    <w:p w:rsidR="001E102A" w:rsidRPr="0074463B" w:rsidRDefault="00541D3B" w:rsidP="00763BA1">
      <w:pPr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Iepirkuma komisija:</w:t>
      </w:r>
    </w:p>
    <w:p w:rsidR="00541D3B" w:rsidRPr="0074463B" w:rsidRDefault="00541D3B" w:rsidP="00194B15">
      <w:pPr>
        <w:rPr>
          <w:rFonts w:ascii="Times New Roman" w:eastAsia="Times New Roman" w:hAnsi="Times New Roman"/>
          <w:lang w:val="lv-LV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BF611B" w:rsidRPr="0074463B" w:rsidTr="00EA3B5B">
        <w:tc>
          <w:tcPr>
            <w:tcW w:w="4205" w:type="dxa"/>
          </w:tcPr>
          <w:p w:rsidR="00BF611B" w:rsidRPr="0074463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74463B">
              <w:rPr>
                <w:rFonts w:ascii="Times New Roman" w:eastAsia="Times New Roman" w:hAnsi="Times New Roman"/>
                <w:color w:val="000000"/>
                <w:lang w:val="lv-LV"/>
              </w:rPr>
              <w:t>Komisijas priekšsēdētājs:</w:t>
            </w:r>
          </w:p>
        </w:tc>
        <w:tc>
          <w:tcPr>
            <w:tcW w:w="1976" w:type="dxa"/>
          </w:tcPr>
          <w:p w:rsidR="00BF611B" w:rsidRPr="0074463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74463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74463B">
              <w:rPr>
                <w:rFonts w:ascii="Times New Roman" w:eastAsia="Times New Roman" w:hAnsi="Times New Roman"/>
                <w:color w:val="000000"/>
                <w:lang w:val="lv-LV"/>
              </w:rPr>
              <w:t>A.Celitāns</w:t>
            </w:r>
            <w:proofErr w:type="spellEnd"/>
          </w:p>
        </w:tc>
      </w:tr>
      <w:tr w:rsidR="00BF611B" w:rsidRPr="0074463B" w:rsidTr="00EA3B5B">
        <w:tc>
          <w:tcPr>
            <w:tcW w:w="4205" w:type="dxa"/>
          </w:tcPr>
          <w:p w:rsidR="00BF611B" w:rsidRPr="0074463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976" w:type="dxa"/>
          </w:tcPr>
          <w:p w:rsidR="00BF611B" w:rsidRPr="0074463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74463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BF611B" w:rsidRPr="0074463B" w:rsidTr="00EA3B5B">
        <w:tc>
          <w:tcPr>
            <w:tcW w:w="4205" w:type="dxa"/>
          </w:tcPr>
          <w:p w:rsidR="00BF611B" w:rsidRPr="0074463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74463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74463B">
              <w:rPr>
                <w:rFonts w:ascii="Times New Roman" w:eastAsia="Times New Roman" w:hAnsi="Times New Roman"/>
                <w:color w:val="000000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BF611B" w:rsidRPr="0074463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74463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74463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74463B">
              <w:rPr>
                <w:rFonts w:ascii="Times New Roman" w:eastAsia="Times New Roman" w:hAnsi="Times New Roman"/>
                <w:color w:val="000000"/>
                <w:lang w:val="lv-LV" w:eastAsia="lv-LV"/>
              </w:rPr>
              <w:t>A.Viļumsone</w:t>
            </w:r>
            <w:proofErr w:type="spellEnd"/>
          </w:p>
          <w:p w:rsidR="00BF611B" w:rsidRPr="0074463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74463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74463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74463B">
              <w:rPr>
                <w:rFonts w:ascii="Times New Roman" w:eastAsia="Times New Roman" w:hAnsi="Times New Roman"/>
                <w:color w:val="000000"/>
                <w:lang w:val="lv-LV" w:eastAsia="lv-LV"/>
              </w:rPr>
              <w:t>M.Nikipelova</w:t>
            </w:r>
            <w:proofErr w:type="spellEnd"/>
          </w:p>
          <w:p w:rsidR="00BF611B" w:rsidRPr="0074463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74463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74463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74463B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</w:tbl>
    <w:p w:rsidR="00953CAA" w:rsidRPr="0074463B" w:rsidRDefault="00953CAA" w:rsidP="00BF611B">
      <w:pPr>
        <w:rPr>
          <w:rFonts w:ascii="Times New Roman" w:hAnsi="Times New Roman"/>
          <w:lang w:val="lv-LV"/>
        </w:rPr>
      </w:pPr>
    </w:p>
    <w:sectPr w:rsidR="00953CAA" w:rsidRPr="0074463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3D" w:rsidRDefault="00325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51D0A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4E1B98"/>
    <w:rsid w:val="00516784"/>
    <w:rsid w:val="00523BE1"/>
    <w:rsid w:val="00536E5E"/>
    <w:rsid w:val="00541D3B"/>
    <w:rsid w:val="00560FB6"/>
    <w:rsid w:val="00561C8F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4463B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5C0"/>
    <w:rsid w:val="00A641D8"/>
    <w:rsid w:val="00B06BF3"/>
    <w:rsid w:val="00B450CE"/>
    <w:rsid w:val="00BD1F85"/>
    <w:rsid w:val="00BE4E01"/>
    <w:rsid w:val="00BF611B"/>
    <w:rsid w:val="00C54048"/>
    <w:rsid w:val="00CA6C98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0716AFFB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67</cp:revision>
  <cp:lastPrinted>2016-08-05T09:03:00Z</cp:lastPrinted>
  <dcterms:created xsi:type="dcterms:W3CDTF">2015-02-24T09:54:00Z</dcterms:created>
  <dcterms:modified xsi:type="dcterms:W3CDTF">2017-07-27T12:53:00Z</dcterms:modified>
</cp:coreProperties>
</file>