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91A80" w:rsidRDefault="003875A4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Iepirkuma</w:t>
      </w:r>
    </w:p>
    <w:p w:rsidR="00953CAA" w:rsidRPr="00291A80" w:rsidRDefault="00953CAA" w:rsidP="003875A4">
      <w:pPr>
        <w:jc w:val="center"/>
        <w:rPr>
          <w:rFonts w:ascii="Times New Roman" w:hAnsi="Times New Roman"/>
          <w:b/>
          <w:lang w:val="lv-LV"/>
        </w:rPr>
      </w:pPr>
      <w:r w:rsidRPr="00291A80">
        <w:rPr>
          <w:rFonts w:ascii="Times New Roman" w:hAnsi="Times New Roman"/>
          <w:b/>
          <w:lang w:val="lv-LV"/>
        </w:rPr>
        <w:t>“</w:t>
      </w:r>
      <w:r w:rsidR="00BF611B" w:rsidRPr="00291A80">
        <w:rPr>
          <w:rFonts w:ascii="Times New Roman" w:hAnsi="Times New Roman"/>
          <w:b/>
          <w:lang w:val="lv-LV"/>
        </w:rPr>
        <w:t xml:space="preserve">Specifisku drānu iegāde </w:t>
      </w:r>
      <w:proofErr w:type="spellStart"/>
      <w:r w:rsidR="00BF611B" w:rsidRPr="00291A80">
        <w:rPr>
          <w:rFonts w:ascii="Times New Roman" w:hAnsi="Times New Roman"/>
          <w:b/>
          <w:lang w:val="lv-LV"/>
        </w:rPr>
        <w:t>Interreg</w:t>
      </w:r>
      <w:proofErr w:type="spellEnd"/>
      <w:r w:rsidR="00BF611B" w:rsidRPr="00291A80">
        <w:rPr>
          <w:rFonts w:ascii="Times New Roman" w:hAnsi="Times New Roman"/>
          <w:b/>
          <w:lang w:val="lv-LV"/>
        </w:rPr>
        <w:t xml:space="preserve"> Baltijas jūras reģiona transnacionālās sadarbības programmas līdzfinansētā projekta “Vieds un drošs darba apģērbs - SWW” vajadzībām</w:t>
      </w:r>
      <w:r w:rsidRPr="00291A80">
        <w:rPr>
          <w:rFonts w:ascii="Times New Roman" w:hAnsi="Times New Roman"/>
          <w:b/>
          <w:lang w:val="lv-LV"/>
        </w:rPr>
        <w:t>”</w:t>
      </w:r>
    </w:p>
    <w:p w:rsidR="003875A4" w:rsidRPr="00291A80" w:rsidRDefault="006B3182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ID: RTU – 2017</w:t>
      </w:r>
      <w:r w:rsidR="00953CAA" w:rsidRPr="00291A80">
        <w:rPr>
          <w:rFonts w:ascii="Times New Roman" w:hAnsi="Times New Roman"/>
          <w:lang w:val="lv-LV"/>
        </w:rPr>
        <w:t>/</w:t>
      </w:r>
      <w:r w:rsidR="00BF611B" w:rsidRPr="00291A80">
        <w:rPr>
          <w:rFonts w:ascii="Times New Roman" w:hAnsi="Times New Roman"/>
          <w:lang w:val="lv-LV"/>
        </w:rPr>
        <w:t>34</w:t>
      </w:r>
    </w:p>
    <w:p w:rsidR="00560FB6" w:rsidRPr="00291A80" w:rsidRDefault="00064B7A" w:rsidP="003875A4">
      <w:pPr>
        <w:jc w:val="center"/>
        <w:rPr>
          <w:rFonts w:ascii="Times New Roman" w:hAnsi="Times New Roman"/>
          <w:b/>
        </w:rPr>
      </w:pPr>
      <w:r w:rsidRPr="00291A80">
        <w:rPr>
          <w:rFonts w:ascii="Times New Roman" w:hAnsi="Times New Roman"/>
          <w:b/>
        </w:rPr>
        <w:t>LĒMUMS</w:t>
      </w:r>
      <w:r w:rsidR="006B3182" w:rsidRPr="00291A80">
        <w:rPr>
          <w:rFonts w:ascii="Times New Roman" w:hAnsi="Times New Roman"/>
          <w:b/>
        </w:rPr>
        <w:t xml:space="preserve"> </w:t>
      </w:r>
    </w:p>
    <w:p w:rsidR="006B3182" w:rsidRPr="00291A80" w:rsidRDefault="006B3182" w:rsidP="003875A4">
      <w:pPr>
        <w:jc w:val="center"/>
        <w:rPr>
          <w:rFonts w:ascii="Times New Roman" w:hAnsi="Times New Roman"/>
          <w:b/>
        </w:rPr>
      </w:pPr>
      <w:proofErr w:type="spellStart"/>
      <w:r w:rsidRPr="00291A80">
        <w:rPr>
          <w:rFonts w:ascii="Times New Roman" w:hAnsi="Times New Roman"/>
          <w:b/>
        </w:rPr>
        <w:t>Iepirkuma</w:t>
      </w:r>
      <w:proofErr w:type="spellEnd"/>
      <w:r w:rsidRPr="00291A80">
        <w:rPr>
          <w:rFonts w:ascii="Times New Roman" w:hAnsi="Times New Roman"/>
          <w:b/>
        </w:rPr>
        <w:t xml:space="preserve"> </w:t>
      </w:r>
      <w:proofErr w:type="spellStart"/>
      <w:r w:rsidRPr="00291A80">
        <w:rPr>
          <w:rFonts w:ascii="Times New Roman" w:hAnsi="Times New Roman"/>
          <w:b/>
        </w:rPr>
        <w:t>daļā</w:t>
      </w:r>
      <w:r w:rsidR="00BF611B" w:rsidRPr="00291A80">
        <w:rPr>
          <w:rFonts w:ascii="Times New Roman" w:hAnsi="Times New Roman"/>
          <w:b/>
        </w:rPr>
        <w:t>s</w:t>
      </w:r>
      <w:proofErr w:type="spellEnd"/>
      <w:r w:rsidRPr="00291A80">
        <w:rPr>
          <w:rFonts w:ascii="Times New Roman" w:hAnsi="Times New Roman"/>
          <w:b/>
        </w:rPr>
        <w:t xml:space="preserve"> Nr.1</w:t>
      </w:r>
      <w:r w:rsidR="00BF611B" w:rsidRPr="00291A80">
        <w:rPr>
          <w:rFonts w:ascii="Times New Roman" w:hAnsi="Times New Roman"/>
          <w:b/>
        </w:rPr>
        <w:t>, 2, 3, 4</w:t>
      </w:r>
    </w:p>
    <w:p w:rsidR="006B3182" w:rsidRPr="00291A80" w:rsidRDefault="006B3182" w:rsidP="00064B7A">
      <w:pPr>
        <w:rPr>
          <w:rFonts w:ascii="Times New Roman" w:hAnsi="Times New Roman"/>
          <w:bCs/>
        </w:rPr>
      </w:pPr>
    </w:p>
    <w:p w:rsidR="00064B7A" w:rsidRPr="00291A80" w:rsidRDefault="00194B15" w:rsidP="00064B7A">
      <w:pPr>
        <w:rPr>
          <w:rFonts w:ascii="Times New Roman" w:hAnsi="Times New Roman"/>
          <w:bCs/>
        </w:rPr>
      </w:pPr>
      <w:r w:rsidRPr="00291A80">
        <w:rPr>
          <w:rFonts w:ascii="Times New Roman" w:hAnsi="Times New Roman"/>
          <w:bCs/>
        </w:rPr>
        <w:t>Rīgā, 201</w:t>
      </w:r>
      <w:r w:rsidR="006B3182" w:rsidRPr="00291A80">
        <w:rPr>
          <w:rFonts w:ascii="Times New Roman" w:hAnsi="Times New Roman"/>
          <w:bCs/>
        </w:rPr>
        <w:t>7</w:t>
      </w:r>
      <w:r w:rsidR="00064B7A" w:rsidRPr="00291A80">
        <w:rPr>
          <w:rFonts w:ascii="Times New Roman" w:hAnsi="Times New Roman"/>
          <w:bCs/>
        </w:rPr>
        <w:t xml:space="preserve">. </w:t>
      </w:r>
      <w:proofErr w:type="gramStart"/>
      <w:r w:rsidR="00064B7A" w:rsidRPr="00291A80">
        <w:rPr>
          <w:rFonts w:ascii="Times New Roman" w:hAnsi="Times New Roman"/>
          <w:bCs/>
        </w:rPr>
        <w:t>gada</w:t>
      </w:r>
      <w:proofErr w:type="gramEnd"/>
      <w:r w:rsidR="00064B7A" w:rsidRPr="00291A80">
        <w:rPr>
          <w:rFonts w:ascii="Times New Roman" w:hAnsi="Times New Roman"/>
          <w:bCs/>
        </w:rPr>
        <w:t xml:space="preserve"> </w:t>
      </w:r>
      <w:r w:rsidR="00BF611B" w:rsidRPr="00291A80">
        <w:rPr>
          <w:rFonts w:ascii="Times New Roman" w:hAnsi="Times New Roman"/>
          <w:bCs/>
        </w:rPr>
        <w:t>05</w:t>
      </w:r>
      <w:r w:rsidR="00064B7A" w:rsidRPr="00291A80">
        <w:rPr>
          <w:rFonts w:ascii="Times New Roman" w:hAnsi="Times New Roman"/>
          <w:bCs/>
        </w:rPr>
        <w:t>.</w:t>
      </w:r>
      <w:r w:rsidR="00BF611B" w:rsidRPr="00291A80">
        <w:rPr>
          <w:rFonts w:ascii="Times New Roman" w:hAnsi="Times New Roman"/>
          <w:bCs/>
        </w:rPr>
        <w:t>jūnijā</w:t>
      </w:r>
      <w:r w:rsidR="006B4652" w:rsidRPr="00291A80">
        <w:rPr>
          <w:rFonts w:ascii="Times New Roman" w:hAnsi="Times New Roman"/>
          <w:bCs/>
        </w:rPr>
        <w:t>.</w:t>
      </w:r>
    </w:p>
    <w:p w:rsidR="00064B7A" w:rsidRPr="00291A80" w:rsidRDefault="00064B7A"/>
    <w:p w:rsidR="00536E5E" w:rsidRDefault="00194B15" w:rsidP="00536E5E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91A80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194B15" w:rsidRPr="00536E5E" w:rsidRDefault="00194B15" w:rsidP="00536E5E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536E5E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536E5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536E5E" w:rsidRPr="00536E5E">
        <w:rPr>
          <w:rFonts w:ascii="Times New Roman" w:eastAsia="Times New Roman" w:hAnsi="Times New Roman"/>
          <w:bCs/>
          <w:lang w:val="lv-LV" w:eastAsia="lv-LV"/>
        </w:rPr>
        <w:t xml:space="preserve">Specifisku drānu iegāde </w:t>
      </w:r>
      <w:proofErr w:type="spellStart"/>
      <w:r w:rsidR="00536E5E" w:rsidRPr="00536E5E">
        <w:rPr>
          <w:rFonts w:ascii="Times New Roman" w:eastAsia="Times New Roman" w:hAnsi="Times New Roman"/>
          <w:bCs/>
          <w:lang w:val="lv-LV" w:eastAsia="lv-LV"/>
        </w:rPr>
        <w:t>Interreg</w:t>
      </w:r>
      <w:proofErr w:type="spellEnd"/>
      <w:r w:rsidR="00536E5E" w:rsidRPr="00536E5E">
        <w:rPr>
          <w:rFonts w:ascii="Times New Roman" w:eastAsia="Times New Roman" w:hAnsi="Times New Roman"/>
          <w:bCs/>
          <w:lang w:val="lv-LV" w:eastAsia="lv-LV"/>
        </w:rPr>
        <w:t xml:space="preserve"> Baltijas jūras reģiona transnacionālās sadarbības programmas līdzfinansētā projekta Nr. #006</w:t>
      </w:r>
      <w:r w:rsidR="00536E5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536E5E" w:rsidRPr="00536E5E">
        <w:rPr>
          <w:rFonts w:ascii="Times New Roman" w:eastAsia="Times New Roman" w:hAnsi="Times New Roman"/>
          <w:bCs/>
          <w:lang w:val="lv-LV" w:eastAsia="lv-LV"/>
        </w:rPr>
        <w:t>“Vieds un drošs darba apģērbs - SWW”</w:t>
      </w:r>
      <w:r w:rsidRPr="00536E5E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291A80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6B3182" w:rsidRPr="00291A80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291A80">
        <w:rPr>
          <w:rFonts w:ascii="Times New Roman" w:eastAsia="Times New Roman" w:hAnsi="Times New Roman"/>
          <w:bCs/>
          <w:lang w:val="en-GB"/>
        </w:rPr>
        <w:t>/</w:t>
      </w:r>
      <w:r w:rsidR="00BF611B" w:rsidRPr="00291A80">
        <w:rPr>
          <w:rFonts w:ascii="Times New Roman" w:eastAsia="Times New Roman" w:hAnsi="Times New Roman"/>
          <w:bCs/>
          <w:lang w:val="en-GB"/>
        </w:rPr>
        <w:t>34</w:t>
      </w:r>
      <w:r w:rsidRPr="00291A80">
        <w:rPr>
          <w:rFonts w:ascii="Times New Roman" w:eastAsia="Times New Roman" w:hAnsi="Times New Roman"/>
          <w:bCs/>
          <w:lang w:val="en-GB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291A80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91A80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08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05</w:t>
      </w:r>
      <w:r w:rsidRPr="00291A80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bCs/>
          <w:lang w:val="lv-LV" w:eastAsia="lv-LV"/>
        </w:rPr>
        <w:t>7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BF611B" w:rsidRPr="00291A80">
        <w:rPr>
          <w:rFonts w:ascii="Times New Roman" w:hAnsi="Times New Roman"/>
          <w:lang w:val="lv-LV"/>
        </w:rPr>
        <w:t>30.03.2017.rīkojumu Nr.03000-1.2/38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291A80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BF611B" w:rsidRPr="00291A80">
        <w:rPr>
          <w:rFonts w:ascii="Times New Roman" w:eastAsia="Times New Roman" w:hAnsi="Times New Roman"/>
          <w:lang w:val="lv-LV" w:eastAsia="lv-LV"/>
        </w:rPr>
        <w:t>19200000-8 “Audumi un saistītie izstrādājumi”</w:t>
      </w:r>
      <w:r w:rsidRPr="00291A80">
        <w:rPr>
          <w:rFonts w:ascii="Times New Roman" w:eastAsia="Times New Roman" w:hAnsi="Times New Roman"/>
          <w:color w:val="000000"/>
          <w:lang w:val="lv-LV" w:eastAsia="lv-LV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291A80" w:rsidTr="00291A80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BF61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344EDD" w:rsidRPr="00291A80" w:rsidTr="00291A8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</w:rPr>
            </w:pPr>
            <w:r w:rsidRPr="00291A80">
              <w:rPr>
                <w:rFonts w:ascii="Times New Roman" w:hAnsi="Times New Roman"/>
              </w:rPr>
              <w:t xml:space="preserve">Carrington </w:t>
            </w:r>
            <w:proofErr w:type="spellStart"/>
            <w:r w:rsidRPr="00291A80">
              <w:rPr>
                <w:rFonts w:ascii="Times New Roman" w:hAnsi="Times New Roman"/>
              </w:rPr>
              <w:t>Workwear</w:t>
            </w:r>
            <w:proofErr w:type="spellEnd"/>
            <w:r w:rsidRPr="00291A80">
              <w:rPr>
                <w:rFonts w:ascii="Times New Roman" w:hAnsi="Times New Roman"/>
              </w:rPr>
              <w:t xml:space="preserve"> Ltd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 w:rsidRPr="00291A80">
              <w:rPr>
                <w:rFonts w:ascii="Times New Roman" w:hAnsi="Times New Roman"/>
                <w:lang w:val="lv-LV"/>
              </w:rPr>
              <w:t>4.29 (Finanšu piedāvājums iesniegts tikai par tehniskā piedāvājuma 1. pozīciju)</w:t>
            </w:r>
          </w:p>
        </w:tc>
      </w:tr>
      <w:tr w:rsidR="00344EDD" w:rsidRPr="00291A80" w:rsidTr="00291A80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</w:rPr>
            </w:pPr>
            <w:r w:rsidRPr="00291A80">
              <w:rPr>
                <w:rFonts w:ascii="Times New Roman" w:hAnsi="Times New Roman"/>
              </w:rPr>
              <w:t xml:space="preserve">Carrington </w:t>
            </w:r>
            <w:proofErr w:type="spellStart"/>
            <w:r w:rsidRPr="00291A80">
              <w:rPr>
                <w:rFonts w:ascii="Times New Roman" w:hAnsi="Times New Roman"/>
              </w:rPr>
              <w:t>Workwear</w:t>
            </w:r>
            <w:proofErr w:type="spellEnd"/>
            <w:r w:rsidRPr="00291A80">
              <w:rPr>
                <w:rFonts w:ascii="Times New Roman" w:hAnsi="Times New Roman"/>
              </w:rPr>
              <w:t xml:space="preserve"> Ltd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 w:rsidRPr="00291A80">
              <w:rPr>
                <w:rFonts w:ascii="Times New Roman" w:hAnsi="Times New Roman"/>
                <w:lang w:val="lv-LV"/>
              </w:rPr>
              <w:t>Finanšu piedāvājums nav iesniegts</w:t>
            </w:r>
          </w:p>
        </w:tc>
      </w:tr>
      <w:tr w:rsidR="00344EDD" w:rsidRPr="00291A80" w:rsidTr="00291A80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</w:rPr>
            </w:pPr>
            <w:r w:rsidRPr="00291A80">
              <w:rPr>
                <w:rFonts w:ascii="Times New Roman" w:hAnsi="Times New Roman"/>
              </w:rPr>
              <w:t xml:space="preserve">Carrington </w:t>
            </w:r>
            <w:proofErr w:type="spellStart"/>
            <w:r w:rsidRPr="00291A80">
              <w:rPr>
                <w:rFonts w:ascii="Times New Roman" w:hAnsi="Times New Roman"/>
              </w:rPr>
              <w:t>Workwear</w:t>
            </w:r>
            <w:proofErr w:type="spellEnd"/>
            <w:r w:rsidRPr="00291A80">
              <w:rPr>
                <w:rFonts w:ascii="Times New Roman" w:hAnsi="Times New Roman"/>
              </w:rPr>
              <w:t xml:space="preserve"> Ltd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 w:rsidRPr="00291A80">
              <w:rPr>
                <w:rFonts w:ascii="Times New Roman" w:hAnsi="Times New Roman"/>
                <w:lang w:val="lv-LV"/>
              </w:rPr>
              <w:t>Finanšu piedāvājums nav iesniegts</w:t>
            </w:r>
          </w:p>
        </w:tc>
      </w:tr>
      <w:tr w:rsidR="00344EDD" w:rsidRPr="00291A80" w:rsidTr="00291A80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</w:rPr>
            </w:pPr>
            <w:r w:rsidRPr="00291A80">
              <w:rPr>
                <w:rFonts w:ascii="Times New Roman" w:hAnsi="Times New Roman"/>
              </w:rPr>
              <w:t xml:space="preserve">Carrington </w:t>
            </w:r>
            <w:proofErr w:type="spellStart"/>
            <w:r w:rsidRPr="00291A80">
              <w:rPr>
                <w:rFonts w:ascii="Times New Roman" w:hAnsi="Times New Roman"/>
              </w:rPr>
              <w:t>Workwear</w:t>
            </w:r>
            <w:proofErr w:type="spellEnd"/>
            <w:r w:rsidRPr="00291A80">
              <w:rPr>
                <w:rFonts w:ascii="Times New Roman" w:hAnsi="Times New Roman"/>
              </w:rPr>
              <w:t xml:space="preserve"> Ltd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 w:rsidRPr="00291A80">
              <w:rPr>
                <w:rFonts w:ascii="Times New Roman" w:hAnsi="Times New Roman"/>
                <w:lang w:val="lv-LV"/>
              </w:rPr>
              <w:t>Finanšu piedāvājums nav iesniegts</w:t>
            </w:r>
          </w:p>
        </w:tc>
      </w:tr>
    </w:tbl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291A80" w:rsidTr="00993E6F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344EDD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344EDD" w:rsidRPr="00291A80" w:rsidTr="00993E6F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</w:rPr>
            </w:pPr>
            <w:r w:rsidRPr="00291A80">
              <w:rPr>
                <w:rFonts w:ascii="Times New Roman" w:hAnsi="Times New Roman"/>
              </w:rPr>
              <w:t xml:space="preserve">Carrington </w:t>
            </w:r>
            <w:proofErr w:type="spellStart"/>
            <w:r w:rsidRPr="00291A80">
              <w:rPr>
                <w:rFonts w:ascii="Times New Roman" w:hAnsi="Times New Roman"/>
              </w:rPr>
              <w:t>Workwear</w:t>
            </w:r>
            <w:proofErr w:type="spellEnd"/>
            <w:r w:rsidRPr="00291A80">
              <w:rPr>
                <w:rFonts w:ascii="Times New Roman" w:hAnsi="Times New Roman"/>
              </w:rPr>
              <w:t xml:space="preserve"> Ltd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91A80">
              <w:rPr>
                <w:rFonts w:ascii="Times New Roman" w:hAnsi="Times New Roman"/>
                <w:bCs/>
              </w:rPr>
              <w:t>Neatbilst</w:t>
            </w:r>
            <w:proofErr w:type="spellEnd"/>
          </w:p>
        </w:tc>
      </w:tr>
      <w:tr w:rsidR="00344EDD" w:rsidRPr="00291A80" w:rsidTr="00993E6F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</w:rPr>
            </w:pPr>
            <w:r w:rsidRPr="00291A80">
              <w:rPr>
                <w:rFonts w:ascii="Times New Roman" w:hAnsi="Times New Roman"/>
              </w:rPr>
              <w:t xml:space="preserve">Carrington </w:t>
            </w:r>
            <w:proofErr w:type="spellStart"/>
            <w:r w:rsidRPr="00291A80">
              <w:rPr>
                <w:rFonts w:ascii="Times New Roman" w:hAnsi="Times New Roman"/>
              </w:rPr>
              <w:t>Workwear</w:t>
            </w:r>
            <w:proofErr w:type="spellEnd"/>
            <w:r w:rsidRPr="00291A80">
              <w:rPr>
                <w:rFonts w:ascii="Times New Roman" w:hAnsi="Times New Roman"/>
              </w:rPr>
              <w:t xml:space="preserve"> Ltd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jc w:val="center"/>
            </w:pPr>
            <w:proofErr w:type="spellStart"/>
            <w:r w:rsidRPr="00291A80">
              <w:rPr>
                <w:rFonts w:ascii="Times New Roman" w:hAnsi="Times New Roman"/>
                <w:bCs/>
              </w:rPr>
              <w:t>Neatbilst</w:t>
            </w:r>
            <w:proofErr w:type="spellEnd"/>
          </w:p>
        </w:tc>
      </w:tr>
      <w:tr w:rsidR="00344EDD" w:rsidRPr="00291A80" w:rsidTr="00993E6F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</w:rPr>
            </w:pPr>
            <w:r w:rsidRPr="00291A80">
              <w:rPr>
                <w:rFonts w:ascii="Times New Roman" w:hAnsi="Times New Roman"/>
              </w:rPr>
              <w:t xml:space="preserve">Carrington </w:t>
            </w:r>
            <w:proofErr w:type="spellStart"/>
            <w:r w:rsidRPr="00291A80">
              <w:rPr>
                <w:rFonts w:ascii="Times New Roman" w:hAnsi="Times New Roman"/>
              </w:rPr>
              <w:t>Workwear</w:t>
            </w:r>
            <w:proofErr w:type="spellEnd"/>
            <w:r w:rsidRPr="00291A80">
              <w:rPr>
                <w:rFonts w:ascii="Times New Roman" w:hAnsi="Times New Roman"/>
              </w:rPr>
              <w:t xml:space="preserve"> Ltd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jc w:val="center"/>
            </w:pPr>
            <w:proofErr w:type="spellStart"/>
            <w:r w:rsidRPr="00291A80">
              <w:rPr>
                <w:rFonts w:ascii="Times New Roman" w:hAnsi="Times New Roman"/>
                <w:bCs/>
              </w:rPr>
              <w:t>Neatbilst</w:t>
            </w:r>
            <w:proofErr w:type="spellEnd"/>
          </w:p>
        </w:tc>
      </w:tr>
      <w:tr w:rsidR="00344EDD" w:rsidRPr="00291A80" w:rsidTr="00993E6F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344EDD" w:rsidP="00344EDD">
            <w:pPr>
              <w:jc w:val="center"/>
              <w:rPr>
                <w:rFonts w:ascii="Times New Roman" w:hAnsi="Times New Roman"/>
              </w:rPr>
            </w:pPr>
            <w:r w:rsidRPr="00291A80">
              <w:rPr>
                <w:rFonts w:ascii="Times New Roman" w:hAnsi="Times New Roman"/>
              </w:rPr>
              <w:t xml:space="preserve">Carrington </w:t>
            </w:r>
            <w:proofErr w:type="spellStart"/>
            <w:r w:rsidRPr="00291A80">
              <w:rPr>
                <w:rFonts w:ascii="Times New Roman" w:hAnsi="Times New Roman"/>
              </w:rPr>
              <w:t>Workwear</w:t>
            </w:r>
            <w:proofErr w:type="spellEnd"/>
            <w:r w:rsidRPr="00291A80">
              <w:rPr>
                <w:rFonts w:ascii="Times New Roman" w:hAnsi="Times New Roman"/>
              </w:rPr>
              <w:t xml:space="preserve"> Ltd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344EDD" w:rsidP="00344EDD">
            <w:pPr>
              <w:jc w:val="center"/>
            </w:pPr>
            <w:proofErr w:type="spellStart"/>
            <w:r w:rsidRPr="00291A80">
              <w:rPr>
                <w:rFonts w:ascii="Times New Roman" w:hAnsi="Times New Roman"/>
                <w:bCs/>
              </w:rPr>
              <w:t>Neatbilst</w:t>
            </w:r>
            <w:proofErr w:type="spellEnd"/>
          </w:p>
        </w:tc>
      </w:tr>
    </w:tbl>
    <w:p w:rsidR="00344EDD" w:rsidRPr="00291A80" w:rsidRDefault="00344EDD" w:rsidP="00344ED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 xml:space="preserve">8.1. Iepirkuma komisija veicot pretendentu piedāvājumos iesniegtās informācijas pārbaudi iepirkuma daļā Nr.1 secināja, ka pretendents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Carrington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Workwear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Ltd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>:</w:t>
      </w:r>
    </w:p>
    <w:p w:rsidR="00344EDD" w:rsidRPr="00291A80" w:rsidRDefault="00344EDD" w:rsidP="00344ED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>Tehniskā piedā</w:t>
      </w:r>
      <w:r w:rsidRPr="00291A80">
        <w:rPr>
          <w:rFonts w:ascii="Times New Roman" w:hAnsi="Times New Roman"/>
          <w:bCs/>
          <w:lang w:val="lv-LV" w:eastAsia="lv-LV"/>
        </w:rPr>
        <w:t>vājuma pozīcijā nr.1</w:t>
      </w:r>
      <w:r w:rsidRPr="00291A80">
        <w:rPr>
          <w:rFonts w:ascii="Times New Roman" w:hAnsi="Times New Roman"/>
          <w:bCs/>
          <w:lang w:val="lv-LV" w:eastAsia="lv-LV"/>
        </w:rPr>
        <w:t xml:space="preserve"> piedāvā drānu ar šķiedru sastāvu: 70% poliesters, 30% kokvilna. Pasūtītāja prasība ir drāna ar šķiedru sastāvu: 67% poliesters, 33% kokvilna.</w:t>
      </w:r>
    </w:p>
    <w:p w:rsidR="00344EDD" w:rsidRPr="00291A80" w:rsidRDefault="00344EDD" w:rsidP="00344ED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>Tehniskā piedā</w:t>
      </w:r>
      <w:r w:rsidRPr="00291A80">
        <w:rPr>
          <w:rFonts w:ascii="Times New Roman" w:hAnsi="Times New Roman"/>
          <w:bCs/>
          <w:lang w:val="lv-LV" w:eastAsia="lv-LV"/>
        </w:rPr>
        <w:t>vājuma pozīcijā nr.2</w:t>
      </w:r>
      <w:r w:rsidRPr="00291A80">
        <w:rPr>
          <w:rFonts w:ascii="Times New Roman" w:hAnsi="Times New Roman"/>
          <w:bCs/>
          <w:lang w:val="lv-LV" w:eastAsia="lv-LV"/>
        </w:rPr>
        <w:t xml:space="preserve"> piedāvā drānu ar šķiedru sastāvu: 64% poliesteris, 33% kokvilna, 3%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elastāns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. Pasūtītāja prasība ir drāna ar šķiedru sastāvu: 63% poliesteris, 32% kokvilna, 5%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elastāns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>.</w:t>
      </w:r>
    </w:p>
    <w:p w:rsidR="00344EDD" w:rsidRPr="00291A80" w:rsidRDefault="00344EDD" w:rsidP="00344ED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lastRenderedPageBreak/>
        <w:t>Tehniskā piedā</w:t>
      </w:r>
      <w:r w:rsidRPr="00291A80">
        <w:rPr>
          <w:rFonts w:ascii="Times New Roman" w:hAnsi="Times New Roman"/>
          <w:bCs/>
          <w:lang w:val="lv-LV" w:eastAsia="lv-LV"/>
        </w:rPr>
        <w:t>vājuma pozīcijā nr.4</w:t>
      </w:r>
      <w:r w:rsidRPr="00291A80">
        <w:rPr>
          <w:rFonts w:ascii="Times New Roman" w:hAnsi="Times New Roman"/>
          <w:bCs/>
          <w:lang w:val="lv-LV" w:eastAsia="lv-LV"/>
        </w:rPr>
        <w:t xml:space="preserve"> piedāvā drānu ar darba platumu 144 cm, kā arī pēc piedāvājumā norādītās informācijas nav iespējams pārliecināties par drānas slāņu sastāvu. Pasūtītāja prasība ir drāna ar darba platumu – ne mazāk kā 145 cm un ne vairāk kā 200 cm.</w:t>
      </w:r>
    </w:p>
    <w:p w:rsidR="00344EDD" w:rsidRPr="00291A80" w:rsidRDefault="00344EDD" w:rsidP="00344ED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>Tehniskā piedā</w:t>
      </w:r>
      <w:r w:rsidRPr="00291A80">
        <w:rPr>
          <w:rFonts w:ascii="Times New Roman" w:hAnsi="Times New Roman"/>
          <w:bCs/>
          <w:lang w:val="lv-LV" w:eastAsia="lv-LV"/>
        </w:rPr>
        <w:t>vājuma pozīcijā nr.5</w:t>
      </w:r>
      <w:r w:rsidRPr="00291A80">
        <w:rPr>
          <w:rFonts w:ascii="Times New Roman" w:hAnsi="Times New Roman"/>
          <w:bCs/>
          <w:lang w:val="lv-LV" w:eastAsia="lv-LV"/>
        </w:rPr>
        <w:t xml:space="preserve"> piedāvā drānu ar darba platumu 144 cm, kā arī pēc piedāvājumā norādītās informācijas nav iespējams pārliecināties par drānas slāņu sastāvu. Pasūtītāja prasība ir drāna ar darba platumu – ne mazāk kā 145 cm un ne vairāk kā 200 cm.</w:t>
      </w:r>
    </w:p>
    <w:p w:rsidR="00291A80" w:rsidRPr="00291A80" w:rsidRDefault="00291A80" w:rsidP="00344ED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 xml:space="preserve">Pretendenta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Carrington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Workwear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Ltd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tehniskais piedāvājums iepirkumu daļā Nr.1 neatbilst nolikuma 8.2.1. punkta un nolikuma 2.2. pielikumā noteiktajām prasībām.</w:t>
      </w:r>
    </w:p>
    <w:p w:rsidR="00344EDD" w:rsidRPr="00291A80" w:rsidRDefault="00344EDD" w:rsidP="00344ED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 xml:space="preserve">8.2. </w:t>
      </w:r>
      <w:r w:rsidRPr="00291A80">
        <w:rPr>
          <w:rFonts w:ascii="Times New Roman" w:hAnsi="Times New Roman"/>
          <w:bCs/>
          <w:lang w:val="lv-LV" w:eastAsia="lv-LV"/>
        </w:rPr>
        <w:t>Iepirkuma komisija veicot pretendentu piedāvājumos iesniegtās informāci</w:t>
      </w:r>
      <w:r w:rsidRPr="00291A80">
        <w:rPr>
          <w:rFonts w:ascii="Times New Roman" w:hAnsi="Times New Roman"/>
          <w:bCs/>
          <w:lang w:val="lv-LV" w:eastAsia="lv-LV"/>
        </w:rPr>
        <w:t>jas pārbaudi iepirkuma daļā Nr.2</w:t>
      </w:r>
      <w:r w:rsidRPr="00291A80">
        <w:rPr>
          <w:rFonts w:ascii="Times New Roman" w:hAnsi="Times New Roman"/>
          <w:bCs/>
          <w:lang w:val="lv-LV" w:eastAsia="lv-LV"/>
        </w:rPr>
        <w:t xml:space="preserve"> secināja, ka pretendents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Carrington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Workwear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Ltd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tehniskā piedāvājuma pozīcijā nr.3 piedāvā drānu ar šķiedru sastāvu: 100% poliesters. Pasūtītāja prasība ir drāna ar šķiedru sastāvu: 88% poliesteris, 12% poliuretāns.</w:t>
      </w:r>
      <w:r w:rsidR="00291A80" w:rsidRPr="00291A80">
        <w:rPr>
          <w:rFonts w:ascii="Times New Roman" w:hAnsi="Times New Roman"/>
          <w:bCs/>
          <w:lang w:val="lv-LV" w:eastAsia="lv-LV"/>
        </w:rPr>
        <w:t xml:space="preserve"> Pretendenta </w:t>
      </w:r>
      <w:proofErr w:type="spellStart"/>
      <w:r w:rsidR="00291A80" w:rsidRPr="00291A80">
        <w:rPr>
          <w:rFonts w:ascii="Times New Roman" w:hAnsi="Times New Roman"/>
          <w:bCs/>
          <w:lang w:val="lv-LV" w:eastAsia="lv-LV"/>
        </w:rPr>
        <w:t>Carrington</w:t>
      </w:r>
      <w:proofErr w:type="spellEnd"/>
      <w:r w:rsidR="00291A80"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="00291A80" w:rsidRPr="00291A80">
        <w:rPr>
          <w:rFonts w:ascii="Times New Roman" w:hAnsi="Times New Roman"/>
          <w:bCs/>
          <w:lang w:val="lv-LV" w:eastAsia="lv-LV"/>
        </w:rPr>
        <w:t>Workwear</w:t>
      </w:r>
      <w:proofErr w:type="spellEnd"/>
      <w:r w:rsidR="00291A80"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="00291A80" w:rsidRPr="00291A80">
        <w:rPr>
          <w:rFonts w:ascii="Times New Roman" w:hAnsi="Times New Roman"/>
          <w:bCs/>
          <w:lang w:val="lv-LV" w:eastAsia="lv-LV"/>
        </w:rPr>
        <w:t>Ltd</w:t>
      </w:r>
      <w:proofErr w:type="spellEnd"/>
      <w:r w:rsidR="00291A80" w:rsidRPr="00291A80">
        <w:rPr>
          <w:rFonts w:ascii="Times New Roman" w:hAnsi="Times New Roman"/>
          <w:bCs/>
          <w:lang w:val="lv-LV" w:eastAsia="lv-LV"/>
        </w:rPr>
        <w:t xml:space="preserve"> tehniskais piedāvājums iepirkumu daļā Nr.2 neatbilst nolikuma 8.2.1. punkta un nolikuma 2.2. pielikumā noteiktajām prasībām.</w:t>
      </w:r>
    </w:p>
    <w:p w:rsidR="00344EDD" w:rsidRPr="00291A80" w:rsidRDefault="00291A80" w:rsidP="00344EDD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>8.3</w:t>
      </w:r>
      <w:r w:rsidRPr="00291A80">
        <w:rPr>
          <w:rFonts w:ascii="Times New Roman" w:hAnsi="Times New Roman"/>
          <w:bCs/>
          <w:lang w:val="lv-LV" w:eastAsia="lv-LV"/>
        </w:rPr>
        <w:t>. Iepirkuma komisija veicot pretendentu piedāvājumos iesniegtās informāci</w:t>
      </w:r>
      <w:r w:rsidRPr="00291A80">
        <w:rPr>
          <w:rFonts w:ascii="Times New Roman" w:hAnsi="Times New Roman"/>
          <w:bCs/>
          <w:lang w:val="lv-LV" w:eastAsia="lv-LV"/>
        </w:rPr>
        <w:t>jas pārbaudi iepirkuma daļā Nr.3</w:t>
      </w:r>
      <w:r w:rsidRPr="00291A80">
        <w:rPr>
          <w:rFonts w:ascii="Times New Roman" w:hAnsi="Times New Roman"/>
          <w:bCs/>
          <w:lang w:val="lv-LV" w:eastAsia="lv-LV"/>
        </w:rPr>
        <w:t xml:space="preserve"> secināja, ka pretendents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Carrington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Workwear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Ltd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>:</w:t>
      </w:r>
    </w:p>
    <w:p w:rsidR="00291A80" w:rsidRPr="00291A80" w:rsidRDefault="00291A80" w:rsidP="00291A80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>Tehniskā piedāvājuma pozīcijā nr.3 piedāvā drānu ar pinuma veidu – saržs 2/1. Pasūtītāja prasība ir drāna ar pinuma veidu – saržs 3/1.</w:t>
      </w:r>
    </w:p>
    <w:p w:rsidR="00291A80" w:rsidRPr="00291A80" w:rsidRDefault="00291A80" w:rsidP="00291A80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>Tehniskā piedāvājuma pozīcijā nr.4 piedāvā drānu ar pinuma veidu – saržs 2/1. Pasūtītāja prasība ir drāna ar pinuma veidu – saržs 3/1.</w:t>
      </w:r>
    </w:p>
    <w:p w:rsidR="00291A80" w:rsidRPr="00291A80" w:rsidRDefault="00291A80" w:rsidP="00291A80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 xml:space="preserve">Tehniskā piedāvājuma pozīcijā nr.5 piedāvā drānu ar maskējošo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apdruku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. Pasūtītāja prasība ir tumšā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hromātiskā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tonī krāsots audums, kas ir tumšāks par neitrāli pelēko toni.</w:t>
      </w:r>
    </w:p>
    <w:p w:rsidR="00291A80" w:rsidRPr="00291A80" w:rsidRDefault="00291A80" w:rsidP="00291A80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 xml:space="preserve">Tehniskā piedāvājuma pozīcijā nr.6 piedāvā drānu ar apdares veidu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ugunsnoturīga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apstrāde. Pasūtītāja prasība ir drāna ar apdares veidu maskējoša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apdruka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>.</w:t>
      </w:r>
    </w:p>
    <w:p w:rsidR="00291A80" w:rsidRPr="00291A80" w:rsidRDefault="00291A80" w:rsidP="00291A80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 xml:space="preserve">Tehniskā piedāvājuma pozīcijā nr.8 piedāvā drānu ar maskējošo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apdruku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. Pasūtītāja prasība ir tumšā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hromātiskā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tonī krāsots audums, kas ir tumšāks par neitrāli pelēko toni.</w:t>
      </w:r>
    </w:p>
    <w:p w:rsidR="00291A80" w:rsidRPr="00291A80" w:rsidRDefault="00291A80" w:rsidP="00291A80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 xml:space="preserve">Tehniskā piedāvājuma pozīcijā nr.10 piedāvā drānu ar maskējošo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apdruku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. Pasūtītāja prasība ir tumšā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hromātiskā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tonī krāsots audums, kas ir tumšāks par neitrāli pelēko toni.</w:t>
      </w:r>
    </w:p>
    <w:p w:rsidR="00291A80" w:rsidRPr="00291A80" w:rsidRDefault="00291A80" w:rsidP="00291A80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 xml:space="preserve">Tehniskā piedāvājuma pozīcijā nr.17 piedāvājumā norādītās informācijas nav iespējams pārliecināties par drānas maskējošo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apdruku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. Pasūtītāja prasība ir drāna ar apdares veidu maskējoša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apdruka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>.</w:t>
      </w:r>
      <w:r w:rsidRPr="00291A80">
        <w:rPr>
          <w:rFonts w:ascii="Times New Roman" w:hAnsi="Times New Roman"/>
          <w:bCs/>
          <w:lang w:val="lv-LV" w:eastAsia="lv-LV"/>
        </w:rPr>
        <w:t xml:space="preserve"> Pretendenta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Carrington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Workwear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Ltd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tehniskais piedāvājums iepirkumu daļā Nr.3 neatbilst nolikuma 8.2.1. punkta un nolikuma 2.2. pielikumā noteiktajām prasībām.</w:t>
      </w:r>
    </w:p>
    <w:p w:rsidR="00291A80" w:rsidRPr="00291A80" w:rsidRDefault="00291A80" w:rsidP="00291A80">
      <w:pPr>
        <w:spacing w:line="276" w:lineRule="auto"/>
        <w:ind w:left="284" w:right="-625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Cs/>
          <w:lang w:val="lv-LV" w:eastAsia="lv-LV"/>
        </w:rPr>
        <w:t>8.4</w:t>
      </w:r>
      <w:r w:rsidRPr="00291A80">
        <w:rPr>
          <w:rFonts w:ascii="Times New Roman" w:hAnsi="Times New Roman"/>
          <w:bCs/>
          <w:lang w:val="lv-LV" w:eastAsia="lv-LV"/>
        </w:rPr>
        <w:t>. Iepirkuma komisija veicot pretendentu piedāvājumos iesniegtās informāci</w:t>
      </w:r>
      <w:r w:rsidRPr="00291A80">
        <w:rPr>
          <w:rFonts w:ascii="Times New Roman" w:hAnsi="Times New Roman"/>
          <w:bCs/>
          <w:lang w:val="lv-LV" w:eastAsia="lv-LV"/>
        </w:rPr>
        <w:t>jas pārbaudi iepirkuma daļā Nr.4</w:t>
      </w:r>
      <w:r w:rsidRPr="00291A80">
        <w:rPr>
          <w:rFonts w:ascii="Times New Roman" w:hAnsi="Times New Roman"/>
          <w:bCs/>
          <w:lang w:val="lv-LV" w:eastAsia="lv-LV"/>
        </w:rPr>
        <w:t xml:space="preserve"> secināja, ka pretendents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Carrington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Workwear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Ltd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r w:rsidRPr="00291A80">
        <w:rPr>
          <w:rFonts w:ascii="Times New Roman" w:hAnsi="Times New Roman"/>
          <w:bCs/>
          <w:lang w:val="lv-LV" w:eastAsia="lv-LV"/>
        </w:rPr>
        <w:t xml:space="preserve">tehniskā piedāvājuma pozīcijā nr.3 piedāvā drānu ar šķiedru sastāvu: kokvilna 33%, poliestera šķiedras – 64%,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elastāns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– 3%. Pasūtītāja prasība ir drāna ar šķiedru sastāvu: kokvilna ne mazāk kā 35%, poliestera un/vai poliamīda šķiedras – ne  mazāk kā 40%,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elastāns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– ne mazāk kā 2%. Pretendenta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Carrington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Workwear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</w:t>
      </w:r>
      <w:proofErr w:type="spellStart"/>
      <w:r w:rsidRPr="00291A80">
        <w:rPr>
          <w:rFonts w:ascii="Times New Roman" w:hAnsi="Times New Roman"/>
          <w:bCs/>
          <w:lang w:val="lv-LV" w:eastAsia="lv-LV"/>
        </w:rPr>
        <w:t>Ltd</w:t>
      </w:r>
      <w:proofErr w:type="spellEnd"/>
      <w:r w:rsidRPr="00291A80">
        <w:rPr>
          <w:rFonts w:ascii="Times New Roman" w:hAnsi="Times New Roman"/>
          <w:bCs/>
          <w:lang w:val="lv-LV" w:eastAsia="lv-LV"/>
        </w:rPr>
        <w:t xml:space="preserve"> tehniskais piedāvājums iepirkumu daļā Nr.4 neatbilst nolikuma 8.2.1. punkta un nolikuma 2.2. pielikumā noteiktajām prasībām.</w:t>
      </w:r>
    </w:p>
    <w:p w:rsidR="00993E6F" w:rsidRDefault="00194B15" w:rsidP="00993E6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291A80">
        <w:rPr>
          <w:rFonts w:ascii="Times New Roman" w:hAnsi="Times New Roman"/>
          <w:bCs/>
          <w:lang w:val="lv-LV" w:eastAsia="lv-LV"/>
        </w:rPr>
        <w:t xml:space="preserve"> </w:t>
      </w:r>
      <w:r w:rsidR="00344EDD" w:rsidRPr="00291A80">
        <w:rPr>
          <w:rFonts w:ascii="Times New Roman" w:hAnsi="Times New Roman"/>
          <w:bCs/>
          <w:lang w:val="lv-LV" w:eastAsia="lv-LV"/>
        </w:rPr>
        <w:t>prasībām atbilstošs saimnieciski izdevīgākais piedāvājums ar viszemāko cenu</w:t>
      </w:r>
      <w:r w:rsidR="006B4652" w:rsidRPr="00291A80">
        <w:rPr>
          <w:rFonts w:ascii="Times New Roman" w:hAnsi="Times New Roman"/>
          <w:bCs/>
          <w:lang w:val="lv-LV" w:eastAsia="lv-LV"/>
        </w:rPr>
        <w:t xml:space="preserve"> katrā iepirkuma daļā atsevišķi</w:t>
      </w:r>
      <w:r w:rsidRPr="00291A80">
        <w:rPr>
          <w:rFonts w:ascii="Times New Roman" w:hAnsi="Times New Roman"/>
          <w:bCs/>
          <w:lang w:val="lv-LV" w:eastAsia="lv-LV"/>
        </w:rPr>
        <w:t>.</w:t>
      </w:r>
    </w:p>
    <w:p w:rsidR="00BF611B" w:rsidRPr="00993E6F" w:rsidRDefault="00BF611B" w:rsidP="00993E6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993E6F">
        <w:rPr>
          <w:rFonts w:ascii="Times New Roman" w:hAnsi="Times New Roman"/>
          <w:b/>
          <w:bCs/>
          <w:lang w:val="lv-LV" w:eastAsia="lv-LV"/>
        </w:rPr>
        <w:lastRenderedPageBreak/>
        <w:t xml:space="preserve">Lēmums: </w:t>
      </w:r>
      <w:r w:rsidRPr="00993E6F">
        <w:rPr>
          <w:rFonts w:ascii="Times New Roman" w:hAnsi="Times New Roman"/>
          <w:bCs/>
          <w:lang w:val="lv-LV" w:eastAsia="lv-LV"/>
        </w:rPr>
        <w:t>Atbilstoši Publisko iepirkumu likuma 9.panta piecpadsmitajai daļai, iepirkuma komisija vienbalsīgi nolēma pārtraukt iepirkumu visas četrās iepirkuma daļās, jo visu pretendentu iesniegtie piedāvājumi neatbilst iepirkuma nolikumā noteiktajām prasībām.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BF611B" w:rsidRPr="00291A80">
        <w:rPr>
          <w:rFonts w:ascii="Times New Roman" w:eastAsia="Times New Roman" w:hAnsi="Times New Roman"/>
          <w:lang w:val="lv-LV" w:eastAsia="lv-LV"/>
        </w:rPr>
        <w:t>05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  <w:r w:rsidR="006B3182" w:rsidRPr="00291A80">
        <w:rPr>
          <w:rFonts w:ascii="Times New Roman" w:eastAsia="Times New Roman" w:hAnsi="Times New Roman"/>
          <w:lang w:val="lv-LV" w:eastAsia="lv-LV"/>
        </w:rPr>
        <w:t>0</w:t>
      </w:r>
      <w:r w:rsidR="00BF611B" w:rsidRPr="00291A80">
        <w:rPr>
          <w:rFonts w:ascii="Times New Roman" w:eastAsia="Times New Roman" w:hAnsi="Times New Roman"/>
          <w:lang w:val="lv-LV" w:eastAsia="lv-LV"/>
        </w:rPr>
        <w:t>6</w:t>
      </w:r>
      <w:r w:rsidRPr="00291A80">
        <w:rPr>
          <w:rFonts w:ascii="Times New Roman" w:eastAsia="Times New Roman" w:hAnsi="Times New Roman"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</w:p>
    <w:p w:rsidR="00064B7A" w:rsidRPr="00291A80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Lēmuma pārsūdz</w:t>
      </w:r>
      <w:bookmarkStart w:id="0" w:name="_GoBack"/>
      <w:bookmarkEnd w:id="0"/>
      <w:r w:rsidRPr="00291A80">
        <w:rPr>
          <w:rFonts w:ascii="Times New Roman" w:eastAsia="Times New Roman" w:hAnsi="Times New Roman"/>
          <w:b/>
          <w:lang w:val="lv-LV" w:eastAsia="lv-LV"/>
        </w:rPr>
        <w:t xml:space="preserve">ēšana: </w:t>
      </w:r>
      <w:r w:rsidRPr="00291A80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291A80" w:rsidRDefault="00064B7A"/>
    <w:p w:rsidR="001E102A" w:rsidRPr="00291A80" w:rsidRDefault="00541D3B" w:rsidP="00763BA1">
      <w:pPr>
        <w:rPr>
          <w:rFonts w:ascii="Times New Roman" w:hAnsi="Times New Roman"/>
        </w:rPr>
      </w:pPr>
      <w:proofErr w:type="spellStart"/>
      <w:r w:rsidRPr="00291A80">
        <w:rPr>
          <w:rFonts w:ascii="Times New Roman" w:hAnsi="Times New Roman"/>
        </w:rPr>
        <w:t>Iepirkuma</w:t>
      </w:r>
      <w:proofErr w:type="spellEnd"/>
      <w:r w:rsidRPr="00291A80">
        <w:rPr>
          <w:rFonts w:ascii="Times New Roman" w:hAnsi="Times New Roman"/>
        </w:rPr>
        <w:t xml:space="preserve"> </w:t>
      </w:r>
      <w:proofErr w:type="spellStart"/>
      <w:r w:rsidRPr="00291A80">
        <w:rPr>
          <w:rFonts w:ascii="Times New Roman" w:hAnsi="Times New Roman"/>
        </w:rPr>
        <w:t>komisija</w:t>
      </w:r>
      <w:proofErr w:type="spellEnd"/>
      <w:r w:rsidRPr="00291A80">
        <w:rPr>
          <w:rFonts w:ascii="Times New Roman" w:hAnsi="Times New Roman"/>
        </w:rPr>
        <w:t>:</w:t>
      </w:r>
    </w:p>
    <w:p w:rsidR="00541D3B" w:rsidRPr="00291A80" w:rsidRDefault="00541D3B" w:rsidP="00194B15">
      <w:pPr>
        <w:rPr>
          <w:rFonts w:ascii="Times New Roman" w:eastAsia="Times New Roman" w:hAnsi="Times New Roman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A.Celitāns</w:t>
            </w:r>
            <w:proofErr w:type="spellEnd"/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A.Viļumsone</w:t>
            </w:r>
            <w:proofErr w:type="spellEnd"/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M.Dzenis</w:t>
            </w:r>
            <w:proofErr w:type="spellEnd"/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M.Nikipelova</w:t>
            </w:r>
            <w:proofErr w:type="spellEnd"/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291A80" w:rsidRDefault="00953CAA" w:rsidP="00BF611B">
      <w:pPr>
        <w:rPr>
          <w:rFonts w:ascii="Times New Roman" w:hAnsi="Times New Roman"/>
        </w:rPr>
      </w:pPr>
    </w:p>
    <w:sectPr w:rsidR="00953CAA" w:rsidRPr="00291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314226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A059E"/>
    <w:rsid w:val="006B3182"/>
    <w:rsid w:val="006B4652"/>
    <w:rsid w:val="006C691A"/>
    <w:rsid w:val="007036C5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641D8"/>
    <w:rsid w:val="00B06BF3"/>
    <w:rsid w:val="00B450CE"/>
    <w:rsid w:val="00BD1F85"/>
    <w:rsid w:val="00BE4E01"/>
    <w:rsid w:val="00BF611B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3943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58</cp:revision>
  <cp:lastPrinted>2016-08-05T09:03:00Z</cp:lastPrinted>
  <dcterms:created xsi:type="dcterms:W3CDTF">2015-02-24T09:54:00Z</dcterms:created>
  <dcterms:modified xsi:type="dcterms:W3CDTF">2017-06-05T13:53:00Z</dcterms:modified>
</cp:coreProperties>
</file>