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E24" w:rsidRPr="00203B88" w:rsidRDefault="008B4E24" w:rsidP="008B4E24">
      <w:pPr>
        <w:jc w:val="right"/>
        <w:rPr>
          <w:rFonts w:eastAsia="Cambria"/>
          <w:kern w:val="56"/>
        </w:rPr>
      </w:pPr>
      <w:r w:rsidRPr="00203B88">
        <w:rPr>
          <w:rFonts w:eastAsia="Cambria"/>
          <w:kern w:val="56"/>
        </w:rPr>
        <w:t>Pielikums Nr.2</w:t>
      </w:r>
    </w:p>
    <w:p w:rsidR="008B4E24" w:rsidRPr="00203B88" w:rsidRDefault="008B4E24" w:rsidP="008B4E24">
      <w:pPr>
        <w:jc w:val="right"/>
        <w:rPr>
          <w:rFonts w:eastAsia="Cambria"/>
          <w:vanish/>
          <w:kern w:val="56"/>
        </w:rPr>
      </w:pPr>
      <w:r w:rsidRPr="00203B88">
        <w:rPr>
          <w:rFonts w:eastAsia="Cambria"/>
          <w:kern w:val="56"/>
        </w:rPr>
        <w:t xml:space="preserve"> </w:t>
      </w:r>
    </w:p>
    <w:p w:rsidR="008B4E24" w:rsidRPr="00203B88" w:rsidRDefault="008B4E24" w:rsidP="008B4E24">
      <w:pPr>
        <w:jc w:val="right"/>
        <w:rPr>
          <w:rFonts w:eastAsia="Cambria"/>
          <w:kern w:val="56"/>
        </w:rPr>
      </w:pPr>
      <w:r w:rsidRPr="00203B88">
        <w:rPr>
          <w:rFonts w:eastAsia="Cambria"/>
          <w:kern w:val="56"/>
        </w:rPr>
        <w:t xml:space="preserve"> Nolikumam ID Nr. RTU-2017/</w:t>
      </w:r>
      <w:r w:rsidR="00256BE3">
        <w:rPr>
          <w:rFonts w:eastAsia="Cambria"/>
          <w:kern w:val="56"/>
        </w:rPr>
        <w:t>124</w:t>
      </w:r>
    </w:p>
    <w:p w:rsidR="008B4E24" w:rsidRPr="00203B88" w:rsidRDefault="008B4E24" w:rsidP="008B4E24">
      <w:pPr>
        <w:tabs>
          <w:tab w:val="center" w:pos="4819"/>
        </w:tabs>
        <w:rPr>
          <w:rFonts w:eastAsia="Cambria"/>
          <w:kern w:val="56"/>
        </w:rPr>
      </w:pPr>
    </w:p>
    <w:p w:rsidR="008B4E24" w:rsidRPr="00203B88" w:rsidRDefault="008B4E24" w:rsidP="008B4E24">
      <w:pPr>
        <w:jc w:val="center"/>
        <w:rPr>
          <w:rFonts w:eastAsia="Cambria"/>
          <w:b/>
          <w:kern w:val="56"/>
        </w:rPr>
      </w:pPr>
      <w:r w:rsidRPr="00203B88">
        <w:rPr>
          <w:rFonts w:eastAsia="Cambria"/>
          <w:b/>
          <w:kern w:val="56"/>
        </w:rPr>
        <w:t>TEHNISKĀ SPE</w:t>
      </w:r>
      <w:r>
        <w:rPr>
          <w:rFonts w:eastAsia="Cambria"/>
          <w:b/>
          <w:kern w:val="56"/>
        </w:rPr>
        <w:t>CIFIKĀCIJA – TEHNISKAIS</w:t>
      </w:r>
      <w:r w:rsidRPr="00203B88">
        <w:rPr>
          <w:rFonts w:eastAsia="Cambria"/>
          <w:b/>
          <w:kern w:val="56"/>
        </w:rPr>
        <w:t xml:space="preserve"> PIEDĀVĀJUMS</w:t>
      </w:r>
    </w:p>
    <w:p w:rsidR="008B4E24" w:rsidRPr="00203B88" w:rsidRDefault="008B4E24" w:rsidP="008B4E24">
      <w:pPr>
        <w:jc w:val="center"/>
        <w:rPr>
          <w:rFonts w:eastAsia="Cambria"/>
          <w:bCs/>
          <w:kern w:val="56"/>
        </w:rPr>
      </w:pPr>
      <w:r w:rsidRPr="00203B88">
        <w:rPr>
          <w:rFonts w:eastAsia="Cambria"/>
          <w:bCs/>
          <w:kern w:val="56"/>
        </w:rPr>
        <w:t>(Pasūtītāja Tehniskās specifikācija, Pretendenta Tehniskais piedāvājums)</w:t>
      </w:r>
    </w:p>
    <w:p w:rsidR="00256BE3" w:rsidRPr="00FC0763" w:rsidRDefault="008B4E24" w:rsidP="00256BE3">
      <w:pPr>
        <w:pStyle w:val="Header"/>
        <w:jc w:val="center"/>
        <w:rPr>
          <w:b/>
          <w:sz w:val="22"/>
          <w:szCs w:val="22"/>
        </w:rPr>
      </w:pPr>
      <w:r>
        <w:rPr>
          <w:rFonts w:eastAsia="Cambria"/>
          <w:b/>
          <w:kern w:val="56"/>
        </w:rPr>
        <w:t xml:space="preserve">Atklātam </w:t>
      </w:r>
      <w:r w:rsidRPr="00FC0763">
        <w:rPr>
          <w:rFonts w:eastAsia="Cambria"/>
          <w:b/>
          <w:kern w:val="56"/>
        </w:rPr>
        <w:t xml:space="preserve">konkursam </w:t>
      </w:r>
      <w:r w:rsidRPr="00FC0763">
        <w:rPr>
          <w:b/>
        </w:rPr>
        <w:t xml:space="preserve"> </w:t>
      </w:r>
      <w:r w:rsidR="00256BE3" w:rsidRPr="00FC0763">
        <w:rPr>
          <w:b/>
          <w:sz w:val="22"/>
          <w:szCs w:val="22"/>
        </w:rPr>
        <w:t xml:space="preserve"> </w:t>
      </w:r>
      <w:bookmarkStart w:id="0" w:name="_GoBack"/>
      <w:bookmarkEnd w:id="0"/>
      <w:r w:rsidR="00256BE3" w:rsidRPr="00FC0763">
        <w:rPr>
          <w:b/>
          <w:sz w:val="22"/>
          <w:szCs w:val="22"/>
        </w:rPr>
        <w:t xml:space="preserve">“Lāzera </w:t>
      </w:r>
      <w:proofErr w:type="spellStart"/>
      <w:r w:rsidR="00256BE3" w:rsidRPr="00FC0763">
        <w:rPr>
          <w:b/>
          <w:sz w:val="22"/>
          <w:szCs w:val="22"/>
        </w:rPr>
        <w:t>Stellar</w:t>
      </w:r>
      <w:proofErr w:type="spellEnd"/>
      <w:r w:rsidR="00256BE3" w:rsidRPr="00FC0763">
        <w:rPr>
          <w:b/>
          <w:sz w:val="22"/>
          <w:szCs w:val="22"/>
        </w:rPr>
        <w:t xml:space="preserve"> - </w:t>
      </w:r>
      <w:proofErr w:type="spellStart"/>
      <w:r w:rsidR="00256BE3" w:rsidRPr="00FC0763">
        <w:rPr>
          <w:b/>
          <w:sz w:val="22"/>
          <w:szCs w:val="22"/>
        </w:rPr>
        <w:t>Pro</w:t>
      </w:r>
      <w:proofErr w:type="spellEnd"/>
      <w:r w:rsidR="00256BE3" w:rsidRPr="00FC0763">
        <w:rPr>
          <w:b/>
          <w:sz w:val="22"/>
          <w:szCs w:val="22"/>
        </w:rPr>
        <w:t xml:space="preserve"> </w:t>
      </w:r>
      <w:proofErr w:type="spellStart"/>
      <w:r w:rsidR="00256BE3" w:rsidRPr="00FC0763">
        <w:rPr>
          <w:b/>
          <w:sz w:val="22"/>
          <w:szCs w:val="22"/>
        </w:rPr>
        <w:t>Ren</w:t>
      </w:r>
      <w:proofErr w:type="spellEnd"/>
      <w:r w:rsidR="00256BE3" w:rsidRPr="00FC0763">
        <w:rPr>
          <w:b/>
          <w:sz w:val="22"/>
          <w:szCs w:val="22"/>
        </w:rPr>
        <w:t xml:space="preserve"> 514 barošanas bloka un lāzera caurules piegāde”,</w:t>
      </w:r>
    </w:p>
    <w:p w:rsidR="008B4E24" w:rsidRPr="002E643A" w:rsidRDefault="008B4E24" w:rsidP="00256BE3">
      <w:pPr>
        <w:jc w:val="center"/>
        <w:rPr>
          <w:b/>
        </w:rPr>
      </w:pPr>
      <w:r w:rsidRPr="00203B88">
        <w:rPr>
          <w:rFonts w:eastAsia="Cambria"/>
          <w:b/>
          <w:kern w:val="56"/>
        </w:rPr>
        <w:t>ID Nr.: RTU </w:t>
      </w:r>
      <w:r w:rsidRPr="00203B88">
        <w:rPr>
          <w:rFonts w:eastAsia="Cambria"/>
          <w:b/>
          <w:kern w:val="56"/>
        </w:rPr>
        <w:noBreakHyphen/>
        <w:t> 2017/</w:t>
      </w:r>
      <w:r w:rsidR="00256BE3">
        <w:rPr>
          <w:rFonts w:eastAsia="Cambria"/>
          <w:b/>
          <w:kern w:val="56"/>
        </w:rPr>
        <w:t>124</w:t>
      </w:r>
    </w:p>
    <w:p w:rsidR="008B4E24" w:rsidRDefault="008B4E24" w:rsidP="008B4E24">
      <w:pPr>
        <w:ind w:left="360"/>
        <w:jc w:val="center"/>
        <w:rPr>
          <w:b/>
          <w:sz w:val="22"/>
          <w:szCs w:val="22"/>
        </w:rPr>
      </w:pPr>
    </w:p>
    <w:p w:rsidR="008B4E24" w:rsidRPr="0096130F" w:rsidRDefault="008B4E24" w:rsidP="008B4E24">
      <w:pPr>
        <w:ind w:left="360"/>
        <w:jc w:val="center"/>
        <w:rPr>
          <w:b/>
          <w:sz w:val="22"/>
          <w:szCs w:val="22"/>
        </w:rPr>
      </w:pPr>
      <w:r w:rsidRPr="0096130F">
        <w:rPr>
          <w:b/>
          <w:sz w:val="22"/>
          <w:szCs w:val="22"/>
        </w:rPr>
        <w:t>Vispārīgās prasības</w:t>
      </w:r>
    </w:p>
    <w:p w:rsidR="008B4E24" w:rsidRPr="0096130F" w:rsidRDefault="008B4E24" w:rsidP="008B4E24">
      <w:pPr>
        <w:jc w:val="both"/>
        <w:rPr>
          <w:i/>
          <w:sz w:val="22"/>
          <w:szCs w:val="22"/>
        </w:rPr>
      </w:pPr>
    </w:p>
    <w:p w:rsidR="00A75C31" w:rsidRPr="00A75C31" w:rsidRDefault="008B4E24" w:rsidP="00A75C31">
      <w:pPr>
        <w:pStyle w:val="ListParagraph"/>
        <w:numPr>
          <w:ilvl w:val="0"/>
          <w:numId w:val="4"/>
        </w:numPr>
        <w:jc w:val="both"/>
        <w:rPr>
          <w:i/>
          <w:sz w:val="22"/>
          <w:szCs w:val="22"/>
          <w:lang w:val="lv-LV"/>
        </w:rPr>
      </w:pPr>
      <w:r w:rsidRPr="00A75C31">
        <w:rPr>
          <w:i/>
          <w:sz w:val="22"/>
          <w:szCs w:val="22"/>
          <w:lang w:val="lv-LV"/>
        </w:rPr>
        <w:t>Preču piegādi un izkraušanu pretendents veic Pasūtītāja telpās Pasūtītāja atbildīgās personas klātbūtnē.</w:t>
      </w:r>
    </w:p>
    <w:p w:rsidR="00A75C31" w:rsidRPr="00A75C31" w:rsidRDefault="008B4E24" w:rsidP="00A75C31">
      <w:pPr>
        <w:pStyle w:val="ListParagraph"/>
        <w:numPr>
          <w:ilvl w:val="0"/>
          <w:numId w:val="4"/>
        </w:numPr>
        <w:jc w:val="both"/>
        <w:rPr>
          <w:i/>
          <w:sz w:val="22"/>
          <w:szCs w:val="22"/>
          <w:lang w:val="lv-LV"/>
        </w:rPr>
      </w:pPr>
      <w:r w:rsidRPr="00A75C31">
        <w:rPr>
          <w:i/>
          <w:sz w:val="22"/>
          <w:szCs w:val="22"/>
          <w:lang w:val="lv-LV"/>
        </w:rPr>
        <w:t>Preču iepakojumam jābūt tādam, lai tiktu maksimāli samazināta iespēja sabojāt Preci tās transportēšanas laikā.</w:t>
      </w:r>
    </w:p>
    <w:p w:rsidR="00A75C31" w:rsidRDefault="008B4E24" w:rsidP="00A75C31">
      <w:pPr>
        <w:pStyle w:val="ListParagraph"/>
        <w:numPr>
          <w:ilvl w:val="0"/>
          <w:numId w:val="4"/>
        </w:numPr>
        <w:jc w:val="both"/>
        <w:rPr>
          <w:i/>
          <w:sz w:val="22"/>
          <w:szCs w:val="22"/>
          <w:lang w:val="lv-LV"/>
        </w:rPr>
      </w:pPr>
      <w:r w:rsidRPr="00A75C31">
        <w:rPr>
          <w:i/>
          <w:sz w:val="22"/>
          <w:szCs w:val="22"/>
          <w:lang w:val="lv-LV"/>
        </w:rPr>
        <w:t>Precēm jābūt jaunām un iepriekš nelietotām. Piegādātājam jāgarantē, ka Preču piegādes brīdī Pasūtītājam tiks iesniegta dokumentācija, kas satur produkta raksturojumu, īpašības, lietošanas un uzglabāšanas noteikumus un pielietojumu.</w:t>
      </w:r>
    </w:p>
    <w:p w:rsidR="00A75C31" w:rsidRPr="00A75C31" w:rsidRDefault="008B4E24" w:rsidP="00A75C31">
      <w:pPr>
        <w:pStyle w:val="ListParagraph"/>
        <w:numPr>
          <w:ilvl w:val="0"/>
          <w:numId w:val="4"/>
        </w:numPr>
        <w:jc w:val="both"/>
        <w:rPr>
          <w:i/>
          <w:sz w:val="22"/>
          <w:szCs w:val="22"/>
          <w:lang w:val="lv-LV"/>
        </w:rPr>
      </w:pPr>
      <w:r w:rsidRPr="00A75C31">
        <w:rPr>
          <w:i/>
          <w:sz w:val="22"/>
          <w:szCs w:val="22"/>
          <w:lang w:val="lv-LV"/>
        </w:rPr>
        <w:t xml:space="preserve"> </w:t>
      </w:r>
      <w:r w:rsidRPr="00A75C31">
        <w:rPr>
          <w:b/>
          <w:i/>
          <w:sz w:val="22"/>
          <w:szCs w:val="22"/>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rsidR="00A75C31" w:rsidRPr="00A75C31" w:rsidRDefault="008B4E24" w:rsidP="00A75C31">
      <w:pPr>
        <w:pStyle w:val="ListParagraph"/>
        <w:numPr>
          <w:ilvl w:val="0"/>
          <w:numId w:val="4"/>
        </w:numPr>
        <w:jc w:val="both"/>
        <w:rPr>
          <w:i/>
          <w:sz w:val="22"/>
          <w:szCs w:val="22"/>
          <w:lang w:val="lv-LV"/>
        </w:rPr>
      </w:pPr>
      <w:r w:rsidRPr="00FC0763">
        <w:rPr>
          <w:i/>
          <w:sz w:val="22"/>
          <w:szCs w:val="22"/>
          <w:lang w:val="lv-LV"/>
        </w:rPr>
        <w:t>Tehniskajā piedāvājumā piedāvājot ekvivalentu preci, Piegādātājam jāpierāda tās ekvivalentums. Par ekvivalentu šī konkursa ietvaros piegādājamajai precei tiks uzskatīta prece, kura ir ekvivalenta pieprasītajai pēc tās funkcionalitātes. Precei jābūt arī ekonomiski ekvivalentai attiecībā uz izmaksām, kas varētu rasties preces ieviešanas un lietošanas laikā.</w:t>
      </w:r>
    </w:p>
    <w:p w:rsidR="00A75C31" w:rsidRPr="00E07801" w:rsidRDefault="00A75C31" w:rsidP="00A75C31">
      <w:pPr>
        <w:numPr>
          <w:ilvl w:val="0"/>
          <w:numId w:val="4"/>
        </w:numPr>
        <w:jc w:val="both"/>
        <w:rPr>
          <w:i/>
        </w:rPr>
      </w:pPr>
      <w:r w:rsidRPr="00E07801">
        <w:rPr>
          <w:i/>
        </w:rPr>
        <w:t>Preces garantijas laiks – vismaz 24 mēneši.</w:t>
      </w:r>
    </w:p>
    <w:p w:rsidR="00A75C31" w:rsidRPr="00E07801" w:rsidRDefault="00A75C31" w:rsidP="00A75C31">
      <w:pPr>
        <w:numPr>
          <w:ilvl w:val="0"/>
          <w:numId w:val="4"/>
        </w:numPr>
        <w:jc w:val="both"/>
        <w:rPr>
          <w:i/>
        </w:rPr>
      </w:pPr>
      <w:r w:rsidRPr="00E07801">
        <w:rPr>
          <w:i/>
        </w:rPr>
        <w:t xml:space="preserve">Piegādātājs nodrošina preces apkopi, garantijas laikā bez papildus samaksas. </w:t>
      </w:r>
    </w:p>
    <w:p w:rsidR="008B4E24" w:rsidRDefault="008B4E24"/>
    <w:tbl>
      <w:tblPr>
        <w:tblStyle w:val="TableGrid"/>
        <w:tblW w:w="14879" w:type="dxa"/>
        <w:tblLook w:val="04A0" w:firstRow="1" w:lastRow="0" w:firstColumn="1" w:lastColumn="0" w:noHBand="0" w:noVBand="1"/>
      </w:tblPr>
      <w:tblGrid>
        <w:gridCol w:w="837"/>
        <w:gridCol w:w="2844"/>
        <w:gridCol w:w="5386"/>
        <w:gridCol w:w="5812"/>
      </w:tblGrid>
      <w:tr w:rsidR="008B4E24" w:rsidTr="00256BE3">
        <w:tc>
          <w:tcPr>
            <w:tcW w:w="837" w:type="dxa"/>
          </w:tcPr>
          <w:p w:rsidR="008B4E24" w:rsidRDefault="008B4E24">
            <w:pPr>
              <w:rPr>
                <w:b/>
              </w:rPr>
            </w:pPr>
          </w:p>
          <w:p w:rsidR="008B4E24" w:rsidRDefault="008B4E24">
            <w:pPr>
              <w:rPr>
                <w:b/>
              </w:rPr>
            </w:pPr>
          </w:p>
          <w:p w:rsidR="008B4E24" w:rsidRDefault="008B4E24">
            <w:pPr>
              <w:rPr>
                <w:b/>
              </w:rPr>
            </w:pPr>
          </w:p>
          <w:p w:rsidR="008B4E24" w:rsidRDefault="008B4E24">
            <w:pPr>
              <w:rPr>
                <w:b/>
              </w:rPr>
            </w:pPr>
          </w:p>
          <w:p w:rsidR="008B4E24" w:rsidRPr="008B4E24" w:rsidRDefault="008B4E24">
            <w:pPr>
              <w:rPr>
                <w:b/>
              </w:rPr>
            </w:pPr>
            <w:proofErr w:type="spellStart"/>
            <w:r w:rsidRPr="008B4E24">
              <w:rPr>
                <w:b/>
              </w:rPr>
              <w:t>N.p.k</w:t>
            </w:r>
            <w:proofErr w:type="spellEnd"/>
            <w:r w:rsidRPr="008B4E24">
              <w:rPr>
                <w:b/>
              </w:rPr>
              <w:t xml:space="preserve">. </w:t>
            </w:r>
          </w:p>
        </w:tc>
        <w:tc>
          <w:tcPr>
            <w:tcW w:w="2844" w:type="dxa"/>
          </w:tcPr>
          <w:p w:rsidR="008B4E24" w:rsidRDefault="008B4E24" w:rsidP="008B4E24">
            <w:pPr>
              <w:jc w:val="center"/>
              <w:rPr>
                <w:b/>
              </w:rPr>
            </w:pPr>
          </w:p>
          <w:p w:rsidR="008B4E24" w:rsidRDefault="008B4E24" w:rsidP="008B4E24">
            <w:pPr>
              <w:jc w:val="center"/>
              <w:rPr>
                <w:b/>
              </w:rPr>
            </w:pPr>
          </w:p>
          <w:p w:rsidR="008B4E24" w:rsidRDefault="008B4E24" w:rsidP="008B4E24">
            <w:pPr>
              <w:jc w:val="center"/>
              <w:rPr>
                <w:b/>
              </w:rPr>
            </w:pPr>
          </w:p>
          <w:p w:rsidR="008B4E24" w:rsidRDefault="008B4E24" w:rsidP="008B4E24">
            <w:pPr>
              <w:jc w:val="center"/>
              <w:rPr>
                <w:b/>
              </w:rPr>
            </w:pPr>
          </w:p>
          <w:p w:rsidR="008B4E24" w:rsidRPr="008B4E24" w:rsidRDefault="008B4E24" w:rsidP="008B4E24">
            <w:pPr>
              <w:jc w:val="center"/>
              <w:rPr>
                <w:b/>
              </w:rPr>
            </w:pPr>
            <w:r w:rsidRPr="008B4E24">
              <w:rPr>
                <w:b/>
              </w:rPr>
              <w:t>Nosaukums</w:t>
            </w:r>
          </w:p>
        </w:tc>
        <w:tc>
          <w:tcPr>
            <w:tcW w:w="5386" w:type="dxa"/>
          </w:tcPr>
          <w:p w:rsidR="008B4E24" w:rsidRDefault="008B4E24" w:rsidP="008B4E24">
            <w:pPr>
              <w:jc w:val="center"/>
              <w:rPr>
                <w:b/>
              </w:rPr>
            </w:pPr>
          </w:p>
          <w:p w:rsidR="008B4E24" w:rsidRDefault="008B4E24" w:rsidP="008B4E24">
            <w:pPr>
              <w:jc w:val="center"/>
              <w:rPr>
                <w:b/>
              </w:rPr>
            </w:pPr>
          </w:p>
          <w:p w:rsidR="008B4E24" w:rsidRDefault="008B4E24" w:rsidP="008B4E24">
            <w:pPr>
              <w:jc w:val="center"/>
              <w:rPr>
                <w:b/>
              </w:rPr>
            </w:pPr>
          </w:p>
          <w:p w:rsidR="008B4E24" w:rsidRDefault="008B4E24" w:rsidP="008B4E24">
            <w:pPr>
              <w:jc w:val="center"/>
              <w:rPr>
                <w:b/>
              </w:rPr>
            </w:pPr>
          </w:p>
          <w:p w:rsidR="008B4E24" w:rsidRPr="008B4E24" w:rsidRDefault="008B4E24" w:rsidP="008B4E24">
            <w:pPr>
              <w:jc w:val="center"/>
              <w:rPr>
                <w:b/>
              </w:rPr>
            </w:pPr>
            <w:r w:rsidRPr="008B4E24">
              <w:rPr>
                <w:b/>
              </w:rPr>
              <w:t>Tehniskā specifikācija</w:t>
            </w:r>
          </w:p>
        </w:tc>
        <w:tc>
          <w:tcPr>
            <w:tcW w:w="5812" w:type="dxa"/>
          </w:tcPr>
          <w:p w:rsidR="008B4E24" w:rsidRDefault="008B4E24" w:rsidP="008B4E24">
            <w:pPr>
              <w:jc w:val="center"/>
              <w:rPr>
                <w:b/>
                <w:color w:val="000000"/>
              </w:rPr>
            </w:pPr>
            <w:r w:rsidRPr="00E03AD6">
              <w:rPr>
                <w:b/>
                <w:color w:val="000000"/>
              </w:rPr>
              <w:t xml:space="preserve">Tehniskais piedāvājums </w:t>
            </w:r>
          </w:p>
          <w:p w:rsidR="008B4E24" w:rsidRPr="00F3695A" w:rsidRDefault="008B4E24" w:rsidP="008B4E24">
            <w:pPr>
              <w:rPr>
                <w:i/>
                <w:sz w:val="22"/>
              </w:rPr>
            </w:pPr>
            <w:r w:rsidRPr="00F3695A">
              <w:rPr>
                <w:i/>
                <w:sz w:val="22"/>
              </w:rPr>
              <w:t>Pretendenta aizpildīta aile, kurā būs rakstīts tikai "atbilst", tiks uzskatīta par nepietiekošu informāciju.</w:t>
            </w:r>
          </w:p>
          <w:p w:rsidR="008B4E24" w:rsidRPr="00F3695A" w:rsidRDefault="008B4E24" w:rsidP="008B4E24">
            <w:pPr>
              <w:rPr>
                <w:i/>
                <w:sz w:val="22"/>
              </w:rPr>
            </w:pPr>
            <w:r w:rsidRPr="00F3695A">
              <w:rPr>
                <w:i/>
                <w:sz w:val="22"/>
              </w:rPr>
              <w:t>Jānorāda:</w:t>
            </w:r>
          </w:p>
          <w:p w:rsidR="008B4E24" w:rsidRPr="00F3695A" w:rsidRDefault="008B4E24" w:rsidP="008B4E24">
            <w:pPr>
              <w:rPr>
                <w:i/>
                <w:sz w:val="22"/>
              </w:rPr>
            </w:pPr>
            <w:r>
              <w:rPr>
                <w:i/>
                <w:sz w:val="22"/>
              </w:rPr>
              <w:t xml:space="preserve">- </w:t>
            </w:r>
            <w:r w:rsidRPr="00F3695A">
              <w:rPr>
                <w:i/>
                <w:sz w:val="22"/>
              </w:rPr>
              <w:t>katras piedāvātās preces tehnisko un darbības parametru aprakstus, atbilstoši tehniskajai specifikācijai;</w:t>
            </w:r>
          </w:p>
          <w:p w:rsidR="008B4E24" w:rsidRPr="00F3695A" w:rsidRDefault="008B4E24" w:rsidP="008B4E24">
            <w:pPr>
              <w:rPr>
                <w:i/>
                <w:sz w:val="22"/>
              </w:rPr>
            </w:pPr>
            <w:r>
              <w:rPr>
                <w:i/>
                <w:sz w:val="22"/>
              </w:rPr>
              <w:t xml:space="preserve">- </w:t>
            </w:r>
            <w:r w:rsidRPr="00F3695A">
              <w:rPr>
                <w:i/>
                <w:sz w:val="22"/>
              </w:rPr>
              <w:t>preču garantijas termiņš;</w:t>
            </w:r>
          </w:p>
          <w:p w:rsidR="008B4E24" w:rsidRDefault="008B4E24" w:rsidP="008B4E24">
            <w:r>
              <w:rPr>
                <w:i/>
                <w:sz w:val="22"/>
              </w:rPr>
              <w:t xml:space="preserve">- </w:t>
            </w:r>
            <w:r w:rsidRPr="00F3695A">
              <w:rPr>
                <w:i/>
                <w:sz w:val="22"/>
              </w:rPr>
              <w:t>papildus informācija – ražotāja avots, kur var pārliecināties par piedāvātā modeļa ražotāja tehniskajiem parametriem.</w:t>
            </w:r>
          </w:p>
        </w:tc>
      </w:tr>
      <w:tr w:rsidR="008B4E24" w:rsidTr="00256BE3">
        <w:tc>
          <w:tcPr>
            <w:tcW w:w="837" w:type="dxa"/>
          </w:tcPr>
          <w:p w:rsidR="008B4E24" w:rsidRDefault="008B4E24" w:rsidP="008B4E24">
            <w:r>
              <w:t xml:space="preserve">1. </w:t>
            </w:r>
          </w:p>
        </w:tc>
        <w:tc>
          <w:tcPr>
            <w:tcW w:w="2844" w:type="dxa"/>
          </w:tcPr>
          <w:p w:rsidR="008B4E24" w:rsidRDefault="00256BE3" w:rsidP="008B4E24">
            <w:r>
              <w:rPr>
                <w:b/>
              </w:rPr>
              <w:t xml:space="preserve">Argona lāzera barošanas bloks </w:t>
            </w:r>
            <w:r w:rsidR="00C07C27">
              <w:rPr>
                <w:b/>
              </w:rPr>
              <w:t>– 1 gab.</w:t>
            </w:r>
          </w:p>
        </w:tc>
        <w:tc>
          <w:tcPr>
            <w:tcW w:w="5386" w:type="dxa"/>
            <w:vAlign w:val="center"/>
          </w:tcPr>
          <w:p w:rsidR="00256BE3" w:rsidRPr="00256BE3" w:rsidRDefault="00256BE3" w:rsidP="00256BE3">
            <w:pPr>
              <w:spacing w:before="100" w:beforeAutospacing="1" w:after="100" w:afterAutospacing="1"/>
              <w:jc w:val="both"/>
            </w:pPr>
            <w:r w:rsidRPr="000D4445">
              <w:t xml:space="preserve">Lāzera barošanas blokam jābūt savietojamam ar pasūtītāja rīcībā esošo lāzeru </w:t>
            </w:r>
            <w:proofErr w:type="spellStart"/>
            <w:r w:rsidRPr="000D4445">
              <w:t>Stella</w:t>
            </w:r>
            <w:r w:rsidR="00A75C31">
              <w:t>r</w:t>
            </w:r>
            <w:proofErr w:type="spellEnd"/>
            <w:r w:rsidR="00A75C31">
              <w:t xml:space="preserve"> </w:t>
            </w:r>
            <w:r w:rsidRPr="000D4445">
              <w:t>-</w:t>
            </w:r>
            <w:r w:rsidR="00A75C31">
              <w:t xml:space="preserve"> </w:t>
            </w:r>
            <w:proofErr w:type="spellStart"/>
            <w:r w:rsidRPr="000D4445">
              <w:t>Pro</w:t>
            </w:r>
            <w:proofErr w:type="spellEnd"/>
            <w:r w:rsidRPr="000D4445">
              <w:t xml:space="preserve"> </w:t>
            </w:r>
            <w:proofErr w:type="spellStart"/>
            <w:r w:rsidRPr="000D4445">
              <w:t>Ren</w:t>
            </w:r>
            <w:proofErr w:type="spellEnd"/>
            <w:r w:rsidRPr="000D4445">
              <w:t xml:space="preserve"> 514 (Ražotājs:</w:t>
            </w:r>
            <w:r w:rsidR="00A75C31">
              <w:t xml:space="preserve"> </w:t>
            </w:r>
            <w:proofErr w:type="spellStart"/>
            <w:r w:rsidR="00A75C31">
              <w:t>Renishaw</w:t>
            </w:r>
            <w:proofErr w:type="spellEnd"/>
            <w:r w:rsidR="00A75C31">
              <w:t xml:space="preserve"> </w:t>
            </w:r>
            <w:proofErr w:type="spellStart"/>
            <w:r w:rsidR="00A75C31">
              <w:t>plc</w:t>
            </w:r>
            <w:proofErr w:type="spellEnd"/>
            <w:r w:rsidR="00A75C31">
              <w:t>., Lielbritānija)</w:t>
            </w:r>
            <w:r w:rsidRPr="000D4445">
              <w:t>. Atbilstības apstiprināšanai piedāvājumam jāpievieno atbilstoša tehniskā dokumentācija vai lāzera ražotāja</w:t>
            </w:r>
            <w:r w:rsidR="00BF605E">
              <w:t xml:space="preserve"> (pilnvarota pārstāvja)</w:t>
            </w:r>
            <w:r w:rsidRPr="000D4445">
              <w:t xml:space="preserve"> apliecinājums.</w:t>
            </w:r>
          </w:p>
          <w:p w:rsidR="008B4E24" w:rsidRPr="00A75C31" w:rsidRDefault="00256BE3" w:rsidP="00256BE3">
            <w:pPr>
              <w:spacing w:line="256" w:lineRule="auto"/>
              <w:jc w:val="both"/>
            </w:pPr>
            <w:r w:rsidRPr="00A75C31">
              <w:lastRenderedPageBreak/>
              <w:t>L</w:t>
            </w:r>
            <w:r w:rsidR="008B4E24" w:rsidRPr="00A75C31">
              <w:t>ietotāja rokasgrāmata</w:t>
            </w:r>
            <w:r w:rsidR="006916C9" w:rsidRPr="00A75C31">
              <w:t xml:space="preserve"> </w:t>
            </w:r>
            <w:r w:rsidR="008B4E24" w:rsidRPr="00A75C31">
              <w:t>(latviešu vai angļu valodā) – 1 gab.</w:t>
            </w:r>
          </w:p>
        </w:tc>
        <w:tc>
          <w:tcPr>
            <w:tcW w:w="5812" w:type="dxa"/>
          </w:tcPr>
          <w:p w:rsidR="008B4E24" w:rsidRDefault="008B4E24" w:rsidP="00256BE3">
            <w:pPr>
              <w:spacing w:before="100" w:beforeAutospacing="1" w:after="100" w:afterAutospacing="1"/>
              <w:jc w:val="both"/>
            </w:pPr>
          </w:p>
        </w:tc>
      </w:tr>
      <w:tr w:rsidR="00256BE3" w:rsidTr="00256BE3">
        <w:tc>
          <w:tcPr>
            <w:tcW w:w="837" w:type="dxa"/>
          </w:tcPr>
          <w:p w:rsidR="00256BE3" w:rsidRDefault="00256BE3" w:rsidP="008B4E24">
            <w:r>
              <w:t xml:space="preserve">2. </w:t>
            </w:r>
          </w:p>
        </w:tc>
        <w:tc>
          <w:tcPr>
            <w:tcW w:w="2844" w:type="dxa"/>
          </w:tcPr>
          <w:p w:rsidR="00256BE3" w:rsidRDefault="00256BE3" w:rsidP="008B4E24">
            <w:pPr>
              <w:rPr>
                <w:b/>
              </w:rPr>
            </w:pPr>
            <w:r>
              <w:rPr>
                <w:b/>
              </w:rPr>
              <w:t>Argona lāzera caurule – 1 gab.</w:t>
            </w:r>
          </w:p>
        </w:tc>
        <w:tc>
          <w:tcPr>
            <w:tcW w:w="5386" w:type="dxa"/>
            <w:vAlign w:val="center"/>
          </w:tcPr>
          <w:p w:rsidR="00256BE3" w:rsidRPr="00256BE3" w:rsidRDefault="00256BE3" w:rsidP="00256BE3">
            <w:pPr>
              <w:spacing w:before="100" w:beforeAutospacing="1" w:after="100" w:afterAutospacing="1"/>
              <w:jc w:val="both"/>
            </w:pPr>
            <w:r w:rsidRPr="00256BE3">
              <w:t xml:space="preserve">Lāzera caurulei jābūt savietojamai ar pasūtītāja rīcībā esošo lāzeru </w:t>
            </w:r>
            <w:proofErr w:type="spellStart"/>
            <w:r w:rsidRPr="00256BE3">
              <w:t>Stella</w:t>
            </w:r>
            <w:r w:rsidR="00A75C31">
              <w:t>r</w:t>
            </w:r>
            <w:proofErr w:type="spellEnd"/>
            <w:r w:rsidR="00A75C31">
              <w:t xml:space="preserve"> </w:t>
            </w:r>
            <w:r w:rsidRPr="00256BE3">
              <w:t>-</w:t>
            </w:r>
            <w:proofErr w:type="spellStart"/>
            <w:r w:rsidRPr="00256BE3">
              <w:t>Pro</w:t>
            </w:r>
            <w:proofErr w:type="spellEnd"/>
            <w:r w:rsidRPr="00256BE3">
              <w:t xml:space="preserve"> </w:t>
            </w:r>
            <w:proofErr w:type="spellStart"/>
            <w:r w:rsidRPr="00256BE3">
              <w:t>Ren</w:t>
            </w:r>
            <w:proofErr w:type="spellEnd"/>
            <w:r w:rsidRPr="00256BE3">
              <w:t xml:space="preserve"> 514 (Ražotājs</w:t>
            </w:r>
            <w:r>
              <w:t xml:space="preserve">: </w:t>
            </w:r>
            <w:proofErr w:type="spellStart"/>
            <w:r>
              <w:t>Renishaw</w:t>
            </w:r>
            <w:proofErr w:type="spellEnd"/>
            <w:r>
              <w:t xml:space="preserve"> </w:t>
            </w:r>
            <w:proofErr w:type="spellStart"/>
            <w:r>
              <w:t>plc</w:t>
            </w:r>
            <w:proofErr w:type="spellEnd"/>
            <w:r>
              <w:t>., Lielbritānija)</w:t>
            </w:r>
            <w:r w:rsidRPr="00256BE3">
              <w:t>. Atbilstības apstiprināšanai piedāvājumam jāpievieno atbilstoša tehniskā dokumentācija vai lāzera ražotāja</w:t>
            </w:r>
            <w:r w:rsidR="00BF605E">
              <w:t xml:space="preserve"> (pilnvarota pārstāvja)</w:t>
            </w:r>
            <w:r w:rsidRPr="00256BE3">
              <w:t xml:space="preserve"> apliecinājums.</w:t>
            </w:r>
          </w:p>
        </w:tc>
        <w:tc>
          <w:tcPr>
            <w:tcW w:w="5812" w:type="dxa"/>
          </w:tcPr>
          <w:p w:rsidR="00256BE3" w:rsidRDefault="00256BE3" w:rsidP="008B4E24"/>
        </w:tc>
      </w:tr>
      <w:tr w:rsidR="00256BE3" w:rsidTr="00256BE3">
        <w:tc>
          <w:tcPr>
            <w:tcW w:w="837" w:type="dxa"/>
          </w:tcPr>
          <w:p w:rsidR="00256BE3" w:rsidRDefault="00256BE3" w:rsidP="008B4E24">
            <w:r>
              <w:t xml:space="preserve">3. </w:t>
            </w:r>
          </w:p>
        </w:tc>
        <w:tc>
          <w:tcPr>
            <w:tcW w:w="2844" w:type="dxa"/>
          </w:tcPr>
          <w:p w:rsidR="00256BE3" w:rsidRDefault="00256BE3" w:rsidP="008B4E24">
            <w:pPr>
              <w:rPr>
                <w:b/>
              </w:rPr>
            </w:pPr>
            <w:r>
              <w:rPr>
                <w:b/>
              </w:rPr>
              <w:t xml:space="preserve">Rezerves daļu uzstādīšanas nosacījumi un termiņi </w:t>
            </w:r>
          </w:p>
        </w:tc>
        <w:tc>
          <w:tcPr>
            <w:tcW w:w="5386" w:type="dxa"/>
            <w:vAlign w:val="center"/>
          </w:tcPr>
          <w:p w:rsidR="00256BE3" w:rsidRPr="000D4445" w:rsidRDefault="00256BE3" w:rsidP="00256BE3">
            <w:pPr>
              <w:spacing w:before="100" w:beforeAutospacing="1" w:after="100" w:afterAutospacing="1"/>
              <w:jc w:val="both"/>
            </w:pPr>
            <w:r w:rsidRPr="000D4445">
              <w:t>Pretendenta piedāvātās detaļas pēc to piegādes pretendentam jāuzstāda</w:t>
            </w:r>
            <w:r w:rsidR="00A75C31">
              <w:t xml:space="preserve"> ar </w:t>
            </w:r>
            <w:r w:rsidRPr="000D4445">
              <w:t xml:space="preserve">pasūtītāja rīcībā esošo lāzeru </w:t>
            </w:r>
            <w:proofErr w:type="spellStart"/>
            <w:r w:rsidRPr="000D4445">
              <w:t>Stella</w:t>
            </w:r>
            <w:r>
              <w:t>r</w:t>
            </w:r>
            <w:proofErr w:type="spellEnd"/>
            <w:r>
              <w:t xml:space="preserve"> </w:t>
            </w:r>
            <w:r w:rsidRPr="000D4445">
              <w:t>-</w:t>
            </w:r>
            <w:r w:rsidR="00A75C31">
              <w:t xml:space="preserve"> </w:t>
            </w:r>
            <w:proofErr w:type="spellStart"/>
            <w:r w:rsidR="00A75C31">
              <w:t>Pro</w:t>
            </w:r>
            <w:proofErr w:type="spellEnd"/>
            <w:r w:rsidR="00A75C31">
              <w:t xml:space="preserve"> </w:t>
            </w:r>
            <w:proofErr w:type="spellStart"/>
            <w:r w:rsidR="00A75C31">
              <w:t>Ren</w:t>
            </w:r>
            <w:proofErr w:type="spellEnd"/>
            <w:r w:rsidR="00A75C31">
              <w:t xml:space="preserve"> 514</w:t>
            </w:r>
            <w:r>
              <w:t>.</w:t>
            </w:r>
          </w:p>
          <w:p w:rsidR="00256BE3" w:rsidRDefault="00256BE3" w:rsidP="00256BE3">
            <w:pPr>
              <w:spacing w:before="100" w:beforeAutospacing="1" w:after="100" w:afterAutospacing="1"/>
              <w:jc w:val="both"/>
            </w:pPr>
            <w:r w:rsidRPr="000D4445">
              <w:t>Pretendentam kopā ar piedāvājumu jāiesniedz lāzera ražotāja dokumentāls apstiprinājums, ka pretendentam ir tiesības veikt minētā lāzera apkopi</w:t>
            </w:r>
            <w:r w:rsidR="00BF605E">
              <w:t xml:space="preserve"> un garantijas apkalpošanu.</w:t>
            </w:r>
          </w:p>
          <w:p w:rsidR="00256BE3" w:rsidRPr="00256BE3" w:rsidRDefault="00256BE3" w:rsidP="00BF605E">
            <w:pPr>
              <w:spacing w:before="100" w:beforeAutospacing="1" w:after="100" w:afterAutospacing="1"/>
              <w:jc w:val="both"/>
            </w:pPr>
            <w:r w:rsidRPr="00256BE3">
              <w:t xml:space="preserve">Visu </w:t>
            </w:r>
            <w:r w:rsidR="00BF605E">
              <w:t xml:space="preserve">iepriekšminēto </w:t>
            </w:r>
            <w:r w:rsidRPr="00256BE3">
              <w:t>minēto detaļu piegādi un uzstādīšanu pretendentam jāveic 3</w:t>
            </w:r>
            <w:r>
              <w:t xml:space="preserve"> (trīs)</w:t>
            </w:r>
            <w:r w:rsidRPr="00256BE3">
              <w:t xml:space="preserve"> mēnešu laikā no </w:t>
            </w:r>
            <w:r w:rsidR="00A75C31">
              <w:t xml:space="preserve">iepirkuma </w:t>
            </w:r>
            <w:r w:rsidRPr="00256BE3">
              <w:t>līguma parakstīšanas dienas.</w:t>
            </w:r>
          </w:p>
        </w:tc>
        <w:tc>
          <w:tcPr>
            <w:tcW w:w="5812" w:type="dxa"/>
          </w:tcPr>
          <w:p w:rsidR="00256BE3" w:rsidRDefault="00256BE3" w:rsidP="008B4E24"/>
        </w:tc>
      </w:tr>
    </w:tbl>
    <w:p w:rsidR="008B4E24" w:rsidRDefault="008B4E24"/>
    <w:sectPr w:rsidR="008B4E24" w:rsidSect="008B4E24">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DB0"/>
    <w:multiLevelType w:val="hybridMultilevel"/>
    <w:tmpl w:val="54B4018C"/>
    <w:lvl w:ilvl="0" w:tplc="9E965578">
      <w:start w:val="1"/>
      <w:numFmt w:val="bullet"/>
      <w:lvlText w:val=""/>
      <w:lvlJc w:val="left"/>
      <w:pPr>
        <w:ind w:left="720" w:hanging="360"/>
      </w:pPr>
      <w:rPr>
        <w:rFonts w:ascii="Symbol" w:hAnsi="Symbol" w:hint="default"/>
        <w:color w:val="000000" w:themeColor="text1"/>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A007E0D"/>
    <w:multiLevelType w:val="hybridMultilevel"/>
    <w:tmpl w:val="97B6BD56"/>
    <w:lvl w:ilvl="0" w:tplc="1B980580">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F4327C"/>
    <w:multiLevelType w:val="hybridMultilevel"/>
    <w:tmpl w:val="EFDC64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21359AF"/>
    <w:multiLevelType w:val="hybridMultilevel"/>
    <w:tmpl w:val="B66E1F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D5819C9"/>
    <w:multiLevelType w:val="hybridMultilevel"/>
    <w:tmpl w:val="D99003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24"/>
    <w:rsid w:val="00256BE3"/>
    <w:rsid w:val="003B6F5E"/>
    <w:rsid w:val="004073B6"/>
    <w:rsid w:val="00525DD4"/>
    <w:rsid w:val="00560BBA"/>
    <w:rsid w:val="006916C9"/>
    <w:rsid w:val="007B7DAE"/>
    <w:rsid w:val="008B4E24"/>
    <w:rsid w:val="00A75C31"/>
    <w:rsid w:val="00A80369"/>
    <w:rsid w:val="00A948AE"/>
    <w:rsid w:val="00BF605E"/>
    <w:rsid w:val="00C07C27"/>
    <w:rsid w:val="00FC07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DCA2B-6285-4FF4-99D7-2A08172A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E2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E24"/>
    <w:pPr>
      <w:ind w:left="720"/>
      <w:contextualSpacing/>
    </w:pPr>
    <w:rPr>
      <w:lang w:val="en-GB" w:eastAsia="en-US"/>
    </w:rPr>
  </w:style>
  <w:style w:type="paragraph" w:styleId="BalloonText">
    <w:name w:val="Balloon Text"/>
    <w:basedOn w:val="Normal"/>
    <w:link w:val="BalloonTextChar"/>
    <w:uiPriority w:val="99"/>
    <w:semiHidden/>
    <w:unhideWhenUsed/>
    <w:rsid w:val="008B4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E24"/>
    <w:rPr>
      <w:rFonts w:ascii="Segoe UI" w:eastAsia="Times New Roman" w:hAnsi="Segoe UI" w:cs="Segoe UI"/>
      <w:sz w:val="18"/>
      <w:szCs w:val="18"/>
      <w:lang w:eastAsia="lv-LV"/>
    </w:rPr>
  </w:style>
  <w:style w:type="paragraph" w:styleId="Header">
    <w:name w:val="header"/>
    <w:aliases w:val="Header Char Char"/>
    <w:basedOn w:val="Normal"/>
    <w:link w:val="HeaderChar"/>
    <w:rsid w:val="00256BE3"/>
    <w:pPr>
      <w:tabs>
        <w:tab w:val="center" w:pos="4153"/>
        <w:tab w:val="right" w:pos="8306"/>
      </w:tabs>
      <w:suppressAutoHyphens/>
    </w:pPr>
    <w:rPr>
      <w:lang w:eastAsia="ar-SA"/>
    </w:rPr>
  </w:style>
  <w:style w:type="character" w:customStyle="1" w:styleId="HeaderChar">
    <w:name w:val="Header Char"/>
    <w:aliases w:val="Header Char Char Char"/>
    <w:basedOn w:val="DefaultParagraphFont"/>
    <w:link w:val="Header"/>
    <w:rsid w:val="00256BE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2092</Words>
  <Characters>1194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9</cp:revision>
  <cp:lastPrinted>2017-11-22T08:21:00Z</cp:lastPrinted>
  <dcterms:created xsi:type="dcterms:W3CDTF">2017-11-16T12:47:00Z</dcterms:created>
  <dcterms:modified xsi:type="dcterms:W3CDTF">2017-12-28T07:07:00Z</dcterms:modified>
</cp:coreProperties>
</file>