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Pielikums Nr.2.</w:t>
      </w:r>
      <w:r w:rsidR="0012668E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6</w:t>
      </w:r>
    </w:p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vanish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</w:p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iepirkuma nolikumam ID Nr. RTU-2018/</w:t>
      </w:r>
      <w:r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7</w:t>
      </w:r>
      <w:r w:rsidR="00735062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1</w:t>
      </w:r>
    </w:p>
    <w:p w:rsidR="00405CC4" w:rsidRPr="00577C37" w:rsidRDefault="00405CC4" w:rsidP="00405CC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405CC4" w:rsidRPr="00577C37" w:rsidRDefault="00405CC4" w:rsidP="00405CC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7C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Tehniskā specifikācija – Tehniskā piedāvājuma forma</w:t>
      </w:r>
    </w:p>
    <w:p w:rsidR="00405CC4" w:rsidRPr="00577C37" w:rsidRDefault="00405CC4" w:rsidP="00405CC4">
      <w:pPr>
        <w:autoSpaceDE w:val="0"/>
        <w:autoSpaceDN w:val="0"/>
        <w:adjustRightInd w:val="0"/>
        <w:spacing w:line="240" w:lineRule="auto"/>
        <w:jc w:val="left"/>
        <w:rPr>
          <w:rFonts w:ascii="Verdana" w:eastAsia="Calibri" w:hAnsi="Verdana" w:cs="Verdana"/>
          <w:color w:val="000000"/>
          <w:sz w:val="24"/>
          <w:szCs w:val="24"/>
        </w:rPr>
      </w:pPr>
    </w:p>
    <w:p w:rsidR="00405CC4" w:rsidRPr="00577C37" w:rsidRDefault="00405CC4" w:rsidP="00405C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77C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IEPIRKUMA DAĻA Nr.</w:t>
      </w:r>
      <w:r w:rsidR="0012668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6</w:t>
      </w:r>
    </w:p>
    <w:p w:rsidR="00405CC4" w:rsidRDefault="00405CC4" w:rsidP="00405CC4">
      <w:pPr>
        <w:pStyle w:val="MediumGrid21"/>
        <w:jc w:val="center"/>
        <w:rPr>
          <w:b/>
          <w:sz w:val="28"/>
          <w:szCs w:val="28"/>
          <w:lang w:eastAsia="lv-LV"/>
        </w:rPr>
      </w:pPr>
    </w:p>
    <w:p w:rsidR="00085DE5" w:rsidRDefault="0012668E" w:rsidP="0012668E">
      <w:pPr>
        <w:jc w:val="center"/>
        <w:rPr>
          <w:rFonts w:ascii="Times New Roman" w:hAnsi="Times New Roman" w:cs="Times New Roman"/>
        </w:rPr>
      </w:pPr>
      <w:r w:rsidRPr="0012668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Programmējamas slodzes un barošanas avota komplekts</w:t>
      </w:r>
    </w:p>
    <w:p w:rsidR="00FC3B40" w:rsidRDefault="00FC3B40" w:rsidP="00405CC4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3822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"/>
        <w:gridCol w:w="5402"/>
        <w:gridCol w:w="3887"/>
        <w:gridCol w:w="3887"/>
      </w:tblGrid>
      <w:tr w:rsidR="0012668E" w:rsidRPr="0012668E" w:rsidTr="0012668E">
        <w:tc>
          <w:tcPr>
            <w:tcW w:w="646" w:type="dxa"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2668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Nr.</w:t>
            </w:r>
          </w:p>
        </w:tc>
        <w:tc>
          <w:tcPr>
            <w:tcW w:w="5402" w:type="dxa"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2668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Nosaukums</w:t>
            </w:r>
          </w:p>
        </w:tc>
        <w:tc>
          <w:tcPr>
            <w:tcW w:w="3887" w:type="dxa"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Minimālās t</w:t>
            </w:r>
            <w:r w:rsidRPr="008D77E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ehniskās un funkcionālās prasības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(ja piemērojams)</w:t>
            </w:r>
          </w:p>
        </w:tc>
        <w:tc>
          <w:tcPr>
            <w:tcW w:w="3887" w:type="dxa"/>
          </w:tcPr>
          <w:p w:rsidR="0012668E" w:rsidRPr="00405CC4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  <w:t>Pretendenta piedāvājums. Norādīt:</w:t>
            </w:r>
          </w:p>
          <w:p w:rsidR="0012668E" w:rsidRPr="00735062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preces ražotāju, modeļa nosaukumu un numuru. (ja ir);</w:t>
            </w:r>
          </w:p>
          <w:p w:rsidR="0012668E" w:rsidRPr="00735062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tehnisko informāciju, kas apliecina katras prasības (parametra) izpildi;</w:t>
            </w:r>
          </w:p>
          <w:p w:rsidR="0012668E" w:rsidRPr="00735062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sastāvdaļas ražotāju un modeļa nosaukumu, numuru (ja ir);</w:t>
            </w:r>
          </w:p>
          <w:p w:rsidR="0012668E" w:rsidRPr="00735062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ražotāja izdota dokumenta, kas pievienots piedāvājumam, lpp. un pozīciju, pēc kuras var spriest par piedāvātās preces parametra atbilstību prasībām.</w:t>
            </w:r>
          </w:p>
          <w:p w:rsidR="0012668E" w:rsidRDefault="0012668E" w:rsidP="0012668E">
            <w:pPr>
              <w:suppressLineNumbers/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73506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Pretendenta aizpildīta aile, kurā būs rakstīts tikai "atbilst", tiks uzskatīta par nepietiekošu informāciju.</w:t>
            </w:r>
          </w:p>
        </w:tc>
      </w:tr>
      <w:tr w:rsidR="0012668E" w:rsidRPr="0012668E" w:rsidTr="0012668E">
        <w:tc>
          <w:tcPr>
            <w:tcW w:w="646" w:type="dxa"/>
            <w:vMerge w:val="restart"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66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9" w:type="dxa"/>
            <w:gridSpan w:val="2"/>
            <w:shd w:val="clear" w:color="auto" w:fill="auto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12668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>Griezes momenta mērpārveidotāja komplekts (</w:t>
            </w:r>
            <w:r w:rsidRPr="0012668E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val="ru-RU" w:eastAsia="ar-SA"/>
              </w:rPr>
              <w:t>Unipulse</w:t>
            </w:r>
            <w:r w:rsidRPr="0012668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  <w:t xml:space="preserve"> UTMII-20Nm un TM301 vai ekvivalents) skaits 1 gab.</w:t>
            </w:r>
          </w:p>
        </w:tc>
        <w:tc>
          <w:tcPr>
            <w:tcW w:w="3887" w:type="dxa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12668E" w:rsidRPr="0012668E" w:rsidTr="0012668E">
        <w:tc>
          <w:tcPr>
            <w:tcW w:w="646" w:type="dxa"/>
            <w:vMerge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266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Komplektā ietilpst piemērots displejs, kurš attēlo griezes momentu un apgriezienus.</w:t>
            </w:r>
          </w:p>
        </w:tc>
        <w:tc>
          <w:tcPr>
            <w:tcW w:w="3887" w:type="dxa"/>
            <w:shd w:val="clear" w:color="auto" w:fill="auto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266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12668E" w:rsidRPr="0012668E" w:rsidTr="0012668E">
        <w:tc>
          <w:tcPr>
            <w:tcW w:w="646" w:type="dxa"/>
            <w:vMerge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266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Komplektā ietilpstošais displejs ir pieslēdzams pie datora izmantojot USB pieslēgumu</w:t>
            </w:r>
          </w:p>
        </w:tc>
        <w:tc>
          <w:tcPr>
            <w:tcW w:w="3887" w:type="dxa"/>
            <w:shd w:val="clear" w:color="auto" w:fill="auto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266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12668E" w:rsidRPr="0012668E" w:rsidTr="0012668E">
        <w:tc>
          <w:tcPr>
            <w:tcW w:w="646" w:type="dxa"/>
            <w:vMerge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266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Komplektā ietilpst programmatūra, lai iegūtu datus no displeja</w:t>
            </w:r>
          </w:p>
        </w:tc>
        <w:tc>
          <w:tcPr>
            <w:tcW w:w="3887" w:type="dxa"/>
            <w:shd w:val="clear" w:color="auto" w:fill="auto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266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12668E" w:rsidRPr="0012668E" w:rsidTr="0012668E">
        <w:tc>
          <w:tcPr>
            <w:tcW w:w="646" w:type="dxa"/>
            <w:vMerge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266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Mērpārveidotāja nominālais diapazons</w:t>
            </w:r>
          </w:p>
        </w:tc>
        <w:tc>
          <w:tcPr>
            <w:tcW w:w="3887" w:type="dxa"/>
            <w:shd w:val="clear" w:color="auto" w:fill="auto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266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20Nm </w:t>
            </w:r>
            <w:r w:rsidRPr="0012668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ru-RU" w:eastAsia="ar-SA"/>
              </w:rPr>
              <w:t>±</w:t>
            </w:r>
            <w:r w:rsidRPr="001266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10%</w:t>
            </w:r>
          </w:p>
        </w:tc>
        <w:tc>
          <w:tcPr>
            <w:tcW w:w="3887" w:type="dxa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12668E" w:rsidRPr="0012668E" w:rsidTr="0012668E">
        <w:tc>
          <w:tcPr>
            <w:tcW w:w="646" w:type="dxa"/>
            <w:vMerge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266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Mērpārveidotājs ir aprīkots ar ātruma enkoderu</w:t>
            </w:r>
          </w:p>
        </w:tc>
        <w:tc>
          <w:tcPr>
            <w:tcW w:w="3887" w:type="dxa"/>
            <w:shd w:val="clear" w:color="auto" w:fill="auto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266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Jā</w:t>
            </w:r>
          </w:p>
        </w:tc>
        <w:tc>
          <w:tcPr>
            <w:tcW w:w="3887" w:type="dxa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12668E" w:rsidRPr="0012668E" w:rsidTr="0012668E">
        <w:tc>
          <w:tcPr>
            <w:tcW w:w="646" w:type="dxa"/>
            <w:vMerge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266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Ātruma enkodera impulsu skaits uz apgriezienu</w:t>
            </w:r>
          </w:p>
        </w:tc>
        <w:tc>
          <w:tcPr>
            <w:tcW w:w="3887" w:type="dxa"/>
            <w:shd w:val="clear" w:color="auto" w:fill="auto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266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4</w:t>
            </w:r>
          </w:p>
        </w:tc>
        <w:tc>
          <w:tcPr>
            <w:tcW w:w="3887" w:type="dxa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12668E" w:rsidRPr="0012668E" w:rsidTr="0012668E">
        <w:tc>
          <w:tcPr>
            <w:tcW w:w="646" w:type="dxa"/>
            <w:vMerge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266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Momenta mērījumu biežums</w:t>
            </w:r>
          </w:p>
        </w:tc>
        <w:tc>
          <w:tcPr>
            <w:tcW w:w="3887" w:type="dxa"/>
            <w:shd w:val="clear" w:color="auto" w:fill="auto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266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1kHz</w:t>
            </w:r>
          </w:p>
        </w:tc>
        <w:tc>
          <w:tcPr>
            <w:tcW w:w="3887" w:type="dxa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12668E" w:rsidRPr="0012668E" w:rsidTr="0012668E">
        <w:tc>
          <w:tcPr>
            <w:tcW w:w="646" w:type="dxa"/>
            <w:vMerge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266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Maksimālā momenta pārslodze</w:t>
            </w:r>
          </w:p>
        </w:tc>
        <w:tc>
          <w:tcPr>
            <w:tcW w:w="3887" w:type="dxa"/>
            <w:shd w:val="clear" w:color="auto" w:fill="auto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266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500%</w:t>
            </w:r>
          </w:p>
        </w:tc>
        <w:tc>
          <w:tcPr>
            <w:tcW w:w="3887" w:type="dxa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12668E" w:rsidRPr="0012668E" w:rsidTr="0012668E">
        <w:tc>
          <w:tcPr>
            <w:tcW w:w="646" w:type="dxa"/>
            <w:vMerge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266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Momenta mērījuma nelinearitāte</w:t>
            </w:r>
          </w:p>
        </w:tc>
        <w:tc>
          <w:tcPr>
            <w:tcW w:w="3887" w:type="dxa"/>
            <w:shd w:val="clear" w:color="auto" w:fill="auto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266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Ne lielāka par 0,03%</w:t>
            </w:r>
          </w:p>
        </w:tc>
        <w:tc>
          <w:tcPr>
            <w:tcW w:w="3887" w:type="dxa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12668E" w:rsidRPr="0012668E" w:rsidTr="0012668E">
        <w:tc>
          <w:tcPr>
            <w:tcW w:w="646" w:type="dxa"/>
            <w:vMerge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266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Momenta mērījuma histerēze</w:t>
            </w:r>
          </w:p>
        </w:tc>
        <w:tc>
          <w:tcPr>
            <w:tcW w:w="3887" w:type="dxa"/>
            <w:shd w:val="clear" w:color="auto" w:fill="auto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266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Ne lielāka par 0,03%</w:t>
            </w:r>
          </w:p>
        </w:tc>
        <w:tc>
          <w:tcPr>
            <w:tcW w:w="3887" w:type="dxa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12668E" w:rsidRPr="0012668E" w:rsidTr="0012668E">
        <w:tc>
          <w:tcPr>
            <w:tcW w:w="646" w:type="dxa"/>
            <w:vMerge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266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Momenta mērījuma atkārtojamības kļūda</w:t>
            </w:r>
          </w:p>
        </w:tc>
        <w:tc>
          <w:tcPr>
            <w:tcW w:w="3887" w:type="dxa"/>
            <w:shd w:val="clear" w:color="auto" w:fill="auto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266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Ne lielāka par 0,03%</w:t>
            </w:r>
          </w:p>
        </w:tc>
        <w:tc>
          <w:tcPr>
            <w:tcW w:w="3887" w:type="dxa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12668E" w:rsidRPr="0012668E" w:rsidTr="0012668E">
        <w:tc>
          <w:tcPr>
            <w:tcW w:w="646" w:type="dxa"/>
            <w:vMerge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266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Maksimālais apgriezienu skaits</w:t>
            </w:r>
          </w:p>
        </w:tc>
        <w:tc>
          <w:tcPr>
            <w:tcW w:w="3887" w:type="dxa"/>
            <w:shd w:val="clear" w:color="auto" w:fill="auto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1266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Vismaz 10000apgr./min.</w:t>
            </w:r>
          </w:p>
        </w:tc>
        <w:tc>
          <w:tcPr>
            <w:tcW w:w="3887" w:type="dxa"/>
          </w:tcPr>
          <w:p w:rsidR="0012668E" w:rsidRPr="0012668E" w:rsidRDefault="0012668E" w:rsidP="0012668E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12668E" w:rsidRPr="0012668E" w:rsidTr="0012668E">
        <w:tc>
          <w:tcPr>
            <w:tcW w:w="646" w:type="dxa"/>
            <w:vMerge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2" w:type="dxa"/>
            <w:shd w:val="clear" w:color="auto" w:fill="auto"/>
          </w:tcPr>
          <w:p w:rsidR="0012668E" w:rsidRPr="0012668E" w:rsidRDefault="0012668E" w:rsidP="0012668E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66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Garantija</w:t>
            </w:r>
          </w:p>
        </w:tc>
        <w:tc>
          <w:tcPr>
            <w:tcW w:w="3887" w:type="dxa"/>
            <w:shd w:val="clear" w:color="auto" w:fill="auto"/>
          </w:tcPr>
          <w:p w:rsidR="0012668E" w:rsidRPr="0012668E" w:rsidRDefault="0012668E" w:rsidP="0012668E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66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Vismaz 2 gadi</w:t>
            </w:r>
          </w:p>
        </w:tc>
        <w:tc>
          <w:tcPr>
            <w:tcW w:w="3887" w:type="dxa"/>
          </w:tcPr>
          <w:p w:rsidR="0012668E" w:rsidRPr="0012668E" w:rsidRDefault="0012668E" w:rsidP="0012668E">
            <w:pPr>
              <w:suppressAutoHyphens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2668E" w:rsidRDefault="0012668E" w:rsidP="00405CC4">
      <w:pPr>
        <w:jc w:val="left"/>
        <w:rPr>
          <w:rFonts w:ascii="Times New Roman" w:hAnsi="Times New Roman" w:cs="Times New Roman"/>
        </w:rPr>
      </w:pPr>
    </w:p>
    <w:p w:rsidR="00085DE5" w:rsidRDefault="00085DE5" w:rsidP="00405CC4">
      <w:pPr>
        <w:jc w:val="left"/>
        <w:rPr>
          <w:rFonts w:ascii="Times New Roman" w:hAnsi="Times New Roman" w:cs="Times New Roman"/>
        </w:rPr>
      </w:pPr>
    </w:p>
    <w:p w:rsidR="00016092" w:rsidRDefault="00016092" w:rsidP="00405CC4">
      <w:pPr>
        <w:jc w:val="left"/>
        <w:rPr>
          <w:rFonts w:ascii="Times New Roman" w:hAnsi="Times New Roman" w:cs="Times New Roman"/>
        </w:rPr>
      </w:pPr>
    </w:p>
    <w:p w:rsidR="00016092" w:rsidRDefault="00016092" w:rsidP="00016092">
      <w:pPr>
        <w:jc w:val="left"/>
        <w:rPr>
          <w:rFonts w:ascii="Times New Roman" w:hAnsi="Times New Roman" w:cs="Times New Roman"/>
        </w:rPr>
      </w:pPr>
      <w:r w:rsidRPr="00405CC4">
        <w:rPr>
          <w:rFonts w:ascii="Times New Roman" w:hAnsi="Times New Roman" w:cs="Times New Roman"/>
        </w:rPr>
        <w:t>Pretendenta nosaukums: _______________________________</w:t>
      </w:r>
    </w:p>
    <w:p w:rsidR="00016092" w:rsidRPr="00405CC4" w:rsidRDefault="00016092" w:rsidP="00405CC4">
      <w:pPr>
        <w:jc w:val="left"/>
        <w:rPr>
          <w:rFonts w:ascii="Times New Roman" w:hAnsi="Times New Roman" w:cs="Times New Roman"/>
        </w:rPr>
      </w:pPr>
    </w:p>
    <w:sectPr w:rsidR="00016092" w:rsidRPr="00405CC4" w:rsidSect="00405CC4"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E8" w:rsidRDefault="008D77E8" w:rsidP="00405CC4">
      <w:pPr>
        <w:spacing w:line="240" w:lineRule="auto"/>
      </w:pPr>
      <w:r>
        <w:separator/>
      </w:r>
    </w:p>
  </w:endnote>
  <w:endnote w:type="continuationSeparator" w:id="0">
    <w:p w:rsidR="008D77E8" w:rsidRDefault="008D77E8" w:rsidP="00405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937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7E8" w:rsidRDefault="008D77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6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77E8" w:rsidRDefault="008D7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E8" w:rsidRDefault="008D77E8" w:rsidP="00405CC4">
      <w:pPr>
        <w:spacing w:line="240" w:lineRule="auto"/>
      </w:pPr>
      <w:r>
        <w:separator/>
      </w:r>
    </w:p>
  </w:footnote>
  <w:footnote w:type="continuationSeparator" w:id="0">
    <w:p w:rsidR="008D77E8" w:rsidRDefault="008D77E8" w:rsidP="00405C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0E6C"/>
    <w:multiLevelType w:val="hybridMultilevel"/>
    <w:tmpl w:val="772EA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C4"/>
    <w:rsid w:val="00016092"/>
    <w:rsid w:val="00085DE5"/>
    <w:rsid w:val="00086FD8"/>
    <w:rsid w:val="0012668E"/>
    <w:rsid w:val="00204004"/>
    <w:rsid w:val="00405CC4"/>
    <w:rsid w:val="004A19DC"/>
    <w:rsid w:val="00733C4C"/>
    <w:rsid w:val="00735062"/>
    <w:rsid w:val="008D77E8"/>
    <w:rsid w:val="00AA046A"/>
    <w:rsid w:val="00D30494"/>
    <w:rsid w:val="00FC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F6D06C"/>
  <w15:chartTrackingRefBased/>
  <w15:docId w15:val="{67914EA2-3305-41D9-A29E-B61B89B2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CC4"/>
    <w:pPr>
      <w:spacing w:after="0" w:line="290" w:lineRule="atLeast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uiPriority w:val="1"/>
    <w:qFormat/>
    <w:rsid w:val="004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umGrid2Char">
    <w:name w:val="Medium Grid 2 Char"/>
    <w:link w:val="MediumGrid21"/>
    <w:uiPriority w:val="1"/>
    <w:rsid w:val="00405CC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CC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CC4"/>
  </w:style>
  <w:style w:type="paragraph" w:styleId="Footer">
    <w:name w:val="footer"/>
    <w:basedOn w:val="Normal"/>
    <w:link w:val="FooterChar"/>
    <w:uiPriority w:val="99"/>
    <w:unhideWhenUsed/>
    <w:rsid w:val="00405CC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CC4"/>
  </w:style>
  <w:style w:type="paragraph" w:customStyle="1" w:styleId="TableContents">
    <w:name w:val="Table Contents"/>
    <w:basedOn w:val="Normal"/>
    <w:rsid w:val="00204004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CE48D-E8E4-45C9-80D5-2D0835A9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2018-09-12T07:35:00Z</dcterms:created>
  <dcterms:modified xsi:type="dcterms:W3CDTF">2018-09-12T07:35:00Z</dcterms:modified>
</cp:coreProperties>
</file>