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 w:rsidR="008D77E8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3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</w:t>
      </w:r>
      <w:r w:rsidR="00735062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1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 w:rsidR="008D77E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405CC4" w:rsidRDefault="008D77E8" w:rsidP="00405CC4">
      <w:pPr>
        <w:jc w:val="center"/>
      </w:pPr>
      <w:r w:rsidRPr="008D77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Elektriskās piedziņas apmācību stenda komplekts</w:t>
      </w:r>
    </w:p>
    <w:p w:rsidR="00735062" w:rsidRDefault="00735062" w:rsidP="00405CC4">
      <w:pPr>
        <w:jc w:val="left"/>
        <w:rPr>
          <w:rFonts w:ascii="Times New Roman" w:hAnsi="Times New Roman" w:cs="Times New Roman"/>
        </w:rPr>
      </w:pPr>
    </w:p>
    <w:p w:rsidR="008D77E8" w:rsidRDefault="008D77E8" w:rsidP="00405CC4">
      <w:pPr>
        <w:jc w:val="left"/>
        <w:rPr>
          <w:rFonts w:ascii="Times New Roman" w:hAnsi="Times New Roman" w:cs="Times New Roman"/>
        </w:rPr>
      </w:pPr>
    </w:p>
    <w:tbl>
      <w:tblPr>
        <w:tblW w:w="14142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"/>
        <w:gridCol w:w="2048"/>
        <w:gridCol w:w="6858"/>
        <w:gridCol w:w="4590"/>
      </w:tblGrid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Nr.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Nosaukums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016092" w:rsidP="00016092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Minimālās t</w:t>
            </w:r>
            <w:r w:rsidR="008D77E8" w:rsidRPr="008D77E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ehniskās un funkcionālās prasības</w:t>
            </w:r>
          </w:p>
        </w:tc>
        <w:tc>
          <w:tcPr>
            <w:tcW w:w="4590" w:type="dxa"/>
          </w:tcPr>
          <w:p w:rsidR="008D77E8" w:rsidRPr="00405CC4" w:rsidRDefault="008D77E8" w:rsidP="008D77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8D77E8" w:rsidRPr="00735062" w:rsidRDefault="008D77E8" w:rsidP="008D77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8D77E8" w:rsidRPr="00735062" w:rsidRDefault="008D77E8" w:rsidP="008D77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8D77E8" w:rsidRPr="00735062" w:rsidRDefault="008D77E8" w:rsidP="008D77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8D77E8" w:rsidRPr="00735062" w:rsidRDefault="008D77E8" w:rsidP="008D77E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8D77E8" w:rsidRPr="00735062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350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73506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016092" w:rsidRPr="008D77E8" w:rsidTr="00016092">
        <w:tc>
          <w:tcPr>
            <w:tcW w:w="646" w:type="dxa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06" w:type="dxa"/>
            <w:gridSpan w:val="2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Universālo vienfāzu dzinēju apmācības stends (1gb) - paredzēts universālo vienfāzu dzinēju darbības un vadības apguvei.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Stenda sastāvā jāiekļauj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90" w:type="dxa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Universālais vienfāzu elektromotors</w:t>
            </w:r>
          </w:p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Nominālā jauda: 230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230 Vac/Vdc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Frekvence: 50 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Rotācijas ātrums: 9000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Elektroenerģijas padeves bloks</w:t>
            </w:r>
          </w:p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Ieslēgšanas/izslēgšanas slēdzis un izņemama atslēga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400 Vac. 3PH+N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spriegums: no 0 līdz 450 Vac; no 0 līdz 240 Vdc; ar regulēšanas iespēju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Maksimālā strāva: 2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Frekvence: 50 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Komutators voltmetra pieslēgšanai: L1-N; L2-N; L3-N; L1-L2; L1-L3; L2-L3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Komutators ampermetra pieslēgšanai: I1; I2; I3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pieslēguma kabelis ar spraudni: IP44 3PN+E 32A 400V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Diferenciālais palaidējs: 4 polu. 25 A. 30 mA. AC 6KA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Pārslodzes aizsardzības elektroniskais relejs ar displeju minimālā un maksimālā aizsardzības līmeņa iestādīšanai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Elektroniskais siltma relejs pārslodzes aizsardzībai: no 1.2 līdz 7 A. ar dzēšanas un testēšanas funkciju un 1 NONC kontaktu.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Motora apgriezienu vadības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230 V. vienfāzu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spriegums: no 0 līdz 300 Vdc un jauda no 0 līdz 460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Rokturis izejas sprieguma regulēšanai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Drošinātājs: 1 x 2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Potenciometra modulis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Pretestība: no 0 līdz 150 Ohm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Max jauda: 500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ligzdas: pilnās. kā arī maināmās pretestības pieslēgumam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Drošinātāji: 2 x 2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Taisngrieža diožu modulis (vienfāzu)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 izolētas diodes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vismaz 30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Pretspriegums: vismaz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Sprieguma kritums atvērtā režīmā: ne vairāk kā 1.6 V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Pretstrāva aizvērtā režīmā: ne vairāk kā 100 µA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Pārslēgšanās laiks: ne vairāk kā 50 ns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Ligzda zemes pieslēgšanai.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Pretstrāvas bremzēšanas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 spriegums: līdz 60 Vdc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1.67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Maksimālā strāva: 1.8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Maksimālais bremzēšanas moments: 1.4 Nm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Griezes momenta mērīšanas modulis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bremzes noslodzes mērīšana ar indikāciju „Nm” mērvienībās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230 Vac. vienfāzu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Trauksmju veidi: augsta limita. zema limita. augsta/zema limita diapazona. augsta limita gatavība. zema limita gatavība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Moduļa funkcionālo stāvokļu indikācija ar gaismas diožu palīdzību.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Motora apgriezienu mērīšanas modulis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objektu apgriezienu un virsmas kustības ātruma mērīšanai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Kontakta un bezkontakta mērīšanas iespēja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Uzrāda max. min un pēdējo vērtību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Kontaktmērīšanas diapazons: no 5 līdz 19999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Bezkontaktmērīšanas diapazons: no 5 līdz 99999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Virsmas kustības ātruma mērīšanas diapazons: no 0.05 līdz 1999 m/min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Precizitāte: ±(0.5% + 1 iedaļa)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Mērījumu biežums: 1/sekundē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Barošana: no baterijas.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Savienojuma vadi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 4mm laboratorijas spraudņiem.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Stenda konstruktīvs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visu stenda moduļu izvietošana un to ērts pielietojums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Paredzēts novietošanai uz laboratorijas galda.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1.11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Stendam jānodrošina apmācību iespējas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Universālo vienfāzu dzinēju uzbūve un darbības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Universālo vienfāzu dzinēju palaišanas un vadības shēmas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Universālo vienfāzu dzinēju noslodzes īpašības.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Dokumentācija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Praktisko darbu apraksts latviešu vai angļu valodā.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Aprakstam jāsatur: tēmu teorētiskais pamatojums. praktisko darbu apraksts. studentu darba lapas ar uzdevumiem.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Garantijas laiks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pieci gadi.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16092" w:rsidRPr="008D77E8" w:rsidTr="00016092">
        <w:tc>
          <w:tcPr>
            <w:tcW w:w="646" w:type="dxa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06" w:type="dxa"/>
            <w:gridSpan w:val="2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Maiņstrāvas dzinēju industriālo servosistēmu apmācības stends (1gb) - paredzēts industriālo servosistēmu darbības un vadības apguvei.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Stenda sastāvā jāiekļauj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90" w:type="dxa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Maiņstrāvas 3-fāzu servomotors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2 kW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3-fāzu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ātrums: 0 līdz 4200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5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Griezes moments: 0 līdz 19.1 Nm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Sensors: 20 biti. 1048576 izšķirtspēja.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Elektroenerģijas padeves un stenda vadības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230Vac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Trīs digitālās izejas: ar TTL signālu līmeni. divas no tām norāda motora griešanās virzienu. trešā – motora griešanās ātrumu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Vadības elementi: spiedpogas. slēdži. potenciometrs. digitālais kodētājs. nepieciešamās papildus ieejas/izejas  stenda darbības nodrošināšanai.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 vadības programmatūra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Savietojama ar Windows OC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dzinēja darbības procesa grafiska un intuitīva simulācija uz datora ekrāna. kā arī visu procesu automātiska un vienlaicīga reģistrācija un vizualizācija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datu saglabāšana un to vēlākas analīzes iespēja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Dators stenda sastāvā nav jāiekļauj.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2.4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Savienojuma vadi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 4mm laboratorijas spraudņiem.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Stenda konstruktīvs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visu stenda moduļu izvietošana un to ērts pielietojums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Paredzēts novietošanai uz laboratorijas galda.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Stendam jānodrošina apmācību iespējas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Industriālo servosistēmu  uzbūve un darbības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Industriālo servosistēmu dzinēju vadība.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Dokumentācija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Praktisko darbu apraksts latviešu vai angļu valodā.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Aprakstam jāsatur: tēmu teorētiskais pamatojums. praktisko darbu apraksts. studentu darba lapas ar uzdevumiem.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Garantijas laiks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pieci gadi.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16092" w:rsidRPr="008D77E8" w:rsidTr="00016092">
        <w:tc>
          <w:tcPr>
            <w:tcW w:w="646" w:type="dxa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06" w:type="dxa"/>
            <w:gridSpan w:val="2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Maiņstrāvas motor-ģeneratoru sistēmu apmācības stends (1gb) - paredzēts maiņstrāvas motor-ģeneratoru sistēmu darbības principu apguvei.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Stenda sastāvā jāiekļauj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90" w:type="dxa"/>
          </w:tcPr>
          <w:p w:rsidR="00016092" w:rsidRPr="008D77E8" w:rsidRDefault="00016092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Sinhronais 3-fāzu maiņstrāvas elektromotors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200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3 x 400/230 Vac Y/Δ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Frekvence: 50 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Polu skaits: 2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ātrums: 3000 apgr./min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ierosmes strāva: 0.7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Asinhronais 3-fāzu elektromotors ar īssslēgtu rotoru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370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3 x 230/400 Vac Δ/Y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Frekvence: 50 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Polu skaits: 2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ātrums: 2730 apgr./min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1.67/0.97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Elektroenerģijas padeves bloks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Ieslēgšanas/izslēgšanas slēdzis un izņemama atslēga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vienfāzu 230 Vac. PH+N+G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spriegums: vienfāzu 230 Vac. divi izvadi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Vienfāzu pieslēguma kabelis ar spraudni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Diferenciālais palaidējs: 2 polu. 25 A. 30 mA. AC 6KA.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AC motoru ātruma vadības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vienfāzu 230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0.4 kW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spriegums PWA: 3-fāzu 230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Potenciometrs motora apgriezienu regulēšanai: 10 KOhms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Displejs motoru režīmu uzstādīšanai un vizualizācijai.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Sprieguma regulēšanas modulis ģeneratora ierosmes strāvas iestādīšanai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vienfāzu 230 Vac. PH+N+G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izvadi: pieslēgumam pie ģeneratora ierosmes tinumiem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Analogais ampermetrs: 0 līdz 10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Drošinātājs: 5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Tīkla parametru mērījumu bloks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vienfāzu 230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sprieguma, strāvas, jaudas (aktīvās, reaktīvās), jaudas koeficienta (rezistīvai, kapacitatīvai un induktīvai slodzei), frekvences, enerģijas TRMS mērījumus katrā fāzē un kopējo.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Sprieguma mērīšanas diapazons:  185 – 800V ±0.5%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Strāvas mērīšanas diapazons: 0.03 – 6A ±0.5%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Frekvences mērīšanas diapazons: 48 – 62Hz ±0.1Hz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Displejā nolasāmo zīmju skaits: vismaz 4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x strāvas transformatori: TI = 10/5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rezistoru slodzes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Pretestība: 3 x 300 Omi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3 x 200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Slēdzis rezistoru manuālai pieslēgšanai / atslēgšanai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Drošinātāji: 3 x 5 A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3.8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induktīvās slodzes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Induktivitāte: 1.4 H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1.6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Slēdzis induktivitāšu manuālai pieslēgšanai/atslēgšanai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Drošinātāji: 3 x 2 A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kapacitatīvās slodzes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Kapacitāte:  3 x 7</w:t>
            </w:r>
            <w:r w:rsidRPr="008D77E8">
              <w:rPr>
                <w:rFonts w:ascii="Arial" w:eastAsia="Times New Roman" w:hAnsi="Arial" w:cs="Arial"/>
                <w:kern w:val="1"/>
                <w:sz w:val="24"/>
                <w:szCs w:val="24"/>
                <w:lang w:eastAsia="ar-SA"/>
              </w:rPr>
              <w:t>µ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Slēdzis kondensatoru manuālai pieslēgšanai/atslēgšanai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Drošinātāji: 3 x 4 A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Savienojuma vadi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 4mm laboratorijas spraudņiem.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Stenda konstruktīvs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visu stenda moduļu izvietošana un to ērts pielietojums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Paredzēts novietošanai uz laboratorijas galda.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Stendam jānodrošina apmācību iespējas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Kontrolēta sprieguma ģenerēšanas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Kontrolētas frekvences ģenerēšanas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Ģeneratora noslodze ar dažāda veida slodzēm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Jaudas faktora kompensācijas principi.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Dokumentācija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Praktisko darbu apraksts latviešu vai angļu valodā.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Aprakstam jāsatur: tēmu teorētiskais pamatojums, praktisko darbu apraksts, studentu darba lapas ar uzdevumiem.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Garantijas laiks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pieci gadi.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16092" w:rsidRPr="008D77E8" w:rsidTr="00016092">
        <w:tc>
          <w:tcPr>
            <w:tcW w:w="646" w:type="dxa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06" w:type="dxa"/>
            <w:gridSpan w:val="2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Līdzstrāvas bezkontaktu (bezsuku) dzinēju apmācības stends (1gb) – paredzēts DC bezkontaktu (bezsuku) dzinēju darbības un vadības apguvei.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Stenda sastāvā jāiekļauj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90" w:type="dxa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Līdzstrāvas bezkontaktu elektromotors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80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24 Vdc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ātrums: 3250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3.3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4.2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Elektroenerģijas padeves bloks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Ieslēgšanas/izslēgšanas slēdzis un izņemama atslēga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vienfāzu 230 Vac. PH+N+G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spriegums: vienfāzu 230 Vac. divi izvadi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Vienfāzu pieslēguma kabelis ar spraudni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Diferenciālais palaidējs: 2 polu. 25 A. 30 mA. AC 6KA.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bloks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vienfāzu 230 Vac. PH+N+G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spriegumi: vienfāzu 24 Vac; līdzstrāvas 24 Vdc; līdzstrāvas ar potenciometru iestādāms 0 līdz 24 Vdc diapazonā.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Savienojuma vadi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 4mm laboratorijas spraudņiem.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Stenda konstruktīvs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visu stenda moduļu izvietošana un to ērts pielietojums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Paredzēts novietošanai uz laboratorijas galda.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Stendam jānodrošina apmācību iespējas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DC bezsuku dzinēju uzbūve un darbības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DC bezsuku dzinēju palaišanas un vadības shēmas.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4.7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Dokumentācija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Praktisko darbu apraksts latviešu vai angļu valodā.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Aprakstam jāsatur: tēmu teorētiskais pamatojums, praktisko darbu apraksts, studentu darba lapas ar uzdevumiem.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4.8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Garantijas laiks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pieci gadi.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16092" w:rsidRPr="008D77E8" w:rsidTr="00016092">
        <w:tc>
          <w:tcPr>
            <w:tcW w:w="646" w:type="dxa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906" w:type="dxa"/>
            <w:gridSpan w:val="2"/>
            <w:shd w:val="clear" w:color="auto" w:fill="auto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AC 3-fāzu reluktances</w:t>
            </w:r>
            <w:r w:rsidRPr="008D7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dzinēju apmācības stends – paredzēts AC 3-fāzu reluktances</w:t>
            </w:r>
            <w:r w:rsidRPr="008D77E8">
              <w:rPr>
                <w:rFonts w:ascii="Times New Roman" w:eastAsia="Times New Roman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dzinēju darbības un vadības apguvei.  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Stenda sastāvā jāiekļauj</w:t>
            </w:r>
            <w:r w:rsidRPr="008D77E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90" w:type="dxa"/>
          </w:tcPr>
          <w:p w:rsidR="00016092" w:rsidRPr="008D77E8" w:rsidRDefault="00016092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AC 3-fāzu reluktances</w:t>
            </w:r>
            <w:r w:rsidRPr="008D7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elektromotors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300 W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3 x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Frekvence: 50 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Rotācijas ātrums: 3000 apgr/min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strāva: 1.4 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Elektroenerģijas padeves bloks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Ieslēgšanas/izslēgšanas slēdzis un izņemama atslēga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Ieejas spriegums: 3-fāzu 400 Vac. (3fāzes +Neitrāle +Zeme)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spriegumi: 3-fāzu 400 Vac. (3fāzes +Neitrāle); vienfāzu 230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pieslēguma kabelis ar spraudni: IP44 3PN+E 32A 400V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Diferenciālais palaidējs: vismaz 4 polu. 25 A. AC 6KA.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Motora palaišanas un pārslēgšanas moduļi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pārslēdzamā strāva: 10 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Divu-pozīciju slēdzis: Ieslēgts/Izslēgts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Trīs-pozīciju pārslēdzējs: Rotācija pulksteņa virzienā/Izslēgts/Rotācija  pretējā virzienā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Trīs-pozīciju pārslēdzējs: Mazs ātrums/Izslēgts/Liels ātrums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Trīs neatkarīgi slēdži ar divām spiedpogām nominālam spriegumam 24 Vac: ar normāli atvērtiem kontaktiem zaļajām spiedpogām un nomāli slēgtiem kontaktiem sarkanajām spiedpogām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3-fāzu autotransformators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ieejas spriegums: 400 Vac. 3PH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izejas spriegums: 3 x 230 Vac. 3PH+N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Nominālā jauda: 1 kVA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Komutācijas iespējas: vismaz trīsstūra, zvaigznes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Ieslēgšanas/Izslēgšanas slēdzis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Drošinātāji: 3 x 5A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Indikācijas lampu modulis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spriegums: 24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Trīs lampas: sarkana. dzeltena un zaļa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Ligzdas savienojuma vadu pieslēgšanai.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00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Lampu barošanas bloks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vienfāzu 230 Vac. PH+N+G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Izejas spriegumi: vienfāzu 24 Vac; līdzstrāvas 24 Vdc; līdzstrāvas ar potenciometru iestādāms 0 līdz 24 Vdc diapazonā.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5.7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3-polu kontaktori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Kontaktoru skaits: 3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Nominālais spriegums jaudas kontaktiem: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 vadības kontaktiem: 24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 vadības spolei: 24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Viena 3-fāzu kontatūra ar normāli atvērtiem kontaktiem jaudas ķēdei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Trīs normāli atvērti kontakti un trīs normāli slēgti kontakti vadības ķēdei.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5.8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Releju bloki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Releju bloku skaits: 2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 jaudas kontaktiem: 400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 vadības kontaktiem: 24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Nominālais spriegums vadības spolei: 24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Viena 3-fāzu kontaktūra ar normāli atvērtiem kontaktiem jaudas ķēdei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Viens tūlītējas darbības normāli atvērts kontakts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Viens ar kavējumu normāli atvērts kontakts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Viens ar kavējumu normāli slēgts kontakts.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5.9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Tīkla parametru mērījumu bloks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Barošanas spriegums: vienfāzu 230 Vac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sprieguma. strāvas. jaudas (aktīvās. reaktīvās). jaudas koeficienta (rezistīvai. kapacitatīvai un induktīvai slodzei). frekvences. enerģijas. TRMS mērījumus katrā fāzē un kopējo.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Sprieguma mērīšanas diapazons:  185 – 800V ±0.5%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Strāvas mērīšanas diapazons: 0.03 – 6A ±0.5%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Frekvences mērīšanas diapazons: 48 – 62Hz ±0.1Hz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Displejā nolasāmo zīmju skaits: vismaz 4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 x strāvas transformatori: TI = 10/5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5.10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Slodzes spara rats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Svars: 2 kg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Max. ieteicamais rotācijas ātrums: 4000 apgr./min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Inerces moments: 0.0025 Km2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Izmēri: 300x250x250 mm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5.11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Savienojuma vadi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Ar 4mm laboratorijas spraudņiem.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5.12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Stenda konstruktīvs 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Jānodrošina visu stenda moduļu izvietošana un to ērts pielietojums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Paredzēts novietošanai uz laboratorijas galda.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5.13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Stendam jānodrošina apmācību iespējas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Reluktances</w:t>
            </w:r>
            <w:r w:rsidRPr="008D7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dzinēju uzbūve un darbības principi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Reluktances</w:t>
            </w:r>
            <w:r w:rsidRPr="008D7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dzinēju manuālā vadība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Reluktances</w:t>
            </w:r>
            <w:r w:rsidRPr="008D7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dzinēju automātiskā vadība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Reluktances</w:t>
            </w:r>
            <w:r w:rsidRPr="008D77E8">
              <w:rPr>
                <w:rFonts w:ascii="Times New Roman" w:eastAsia="Times New Roman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dzinēju darbības secīguma vadība.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5.14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Dokumentācija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Praktisko darbu apraksts latviešu vai angļu valodā.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Aprakstam jāsatur: tēmu teorētiskais pamatojums. praktisko darbu apraksts. studentu darba lapas ar uzdevumiem. 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5.15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Garantijas laiks</w:t>
            </w: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Vismaz pieci gadi.</w:t>
            </w:r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D77E8" w:rsidRPr="008D77E8" w:rsidTr="00016092">
        <w:tc>
          <w:tcPr>
            <w:tcW w:w="646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</w:pPr>
            <w:r w:rsidRPr="008D77E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48" w:type="dxa"/>
            <w:shd w:val="clear" w:color="auto" w:fill="auto"/>
          </w:tcPr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VFYINY+FuturaLtBT" w:hAnsi="Times New Roman" w:cs="Times New Roman"/>
                <w:kern w:val="1"/>
                <w:sz w:val="24"/>
                <w:szCs w:val="24"/>
                <w:u w:val="single"/>
                <w:lang w:val="en-GB"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  <w:t xml:space="preserve">Apmācību </w:t>
            </w:r>
            <w:r w:rsidRPr="008D77E8">
              <w:rPr>
                <w:rFonts w:ascii="Times New Roman" w:eastAsia="VFYINY+FuturaLtBT" w:hAnsi="Times New Roman" w:cs="Times New Roman"/>
                <w:kern w:val="1"/>
                <w:sz w:val="24"/>
                <w:szCs w:val="24"/>
                <w:u w:val="single"/>
                <w:lang w:val="en-GB" w:eastAsia="ar-SA"/>
              </w:rPr>
              <w:t>programmatūras komplekts</w:t>
            </w:r>
          </w:p>
          <w:p w:rsidR="008D77E8" w:rsidRPr="008D77E8" w:rsidRDefault="008D77E8" w:rsidP="008D77E8">
            <w:pPr>
              <w:suppressLineNumbers/>
              <w:suppressAutoHyphens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858" w:type="dxa"/>
            <w:shd w:val="clear" w:color="auto" w:fill="auto"/>
          </w:tcPr>
          <w:p w:rsidR="008D77E8" w:rsidRPr="008D77E8" w:rsidRDefault="008D77E8" w:rsidP="008D77E8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  <w:t xml:space="preserve">Apmācību </w:t>
            </w:r>
            <w:r w:rsidRPr="008D77E8">
              <w:rPr>
                <w:rFonts w:ascii="Times New Roman" w:eastAsia="VFYINY+FuturaLtBT" w:hAnsi="Times New Roman" w:cs="Times New Roman"/>
                <w:kern w:val="1"/>
                <w:sz w:val="24"/>
                <w:szCs w:val="24"/>
                <w:u w:val="single"/>
                <w:lang w:val="en-GB" w:eastAsia="ar-SA"/>
              </w:rPr>
              <w:t>programmatūras komplektam</w:t>
            </w:r>
            <w:r w:rsidRPr="008D77E8">
              <w:rPr>
                <w:rFonts w:ascii="Times New Roman" w:eastAsia="VFYINY+FuturaLtBT" w:hAnsi="Times New Roman" w:cs="Times New Roman"/>
                <w:kern w:val="1"/>
                <w:sz w:val="24"/>
                <w:szCs w:val="24"/>
                <w:lang w:val="en-GB" w:eastAsia="ar-SA"/>
              </w:rPr>
              <w:t xml:space="preserve"> </w:t>
            </w: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 xml:space="preserve">jāsastāv no Instruktora programmatūras (IP) un Studenta programmatūras (SP). IP un IS ir jābūt cieši integrētiem un ir jānodrošina pasniedzējam pilnīgu pārraudzību pār studentu veikumu tiešsaistes (on-line) režīmā. </w:t>
            </w: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val="en-GB" w:eastAsia="ar-SA"/>
              </w:rPr>
              <w:t xml:space="preserve">Savukārt </w:t>
            </w: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studentam ikvienā brīdī ir jābūt pieejai virtuālā instruktora funkcijai. Apmācību instrukciju komplekts nav fiziski saistīts ar apmācību stendu moduļiem. t.i.. tam ir jābūt izmantojamam arī off-line režīmā. Programmatūrai ir jābūt savietojamai ar Windows operētāj-sistēmu.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  <w:t>Instruktora programmatūrai (IP)</w:t>
            </w: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 xml:space="preserve"> jānodrošina: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studentu organizēšanu pa klasēm un pa grupām;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sarakstu papildināšanu un koriģēšanu;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studentu informatīvo datu bāzes izveidi;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praktisko vingrinājumu rediģēšanas iespēju;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apmācību un eksaminācijas testu izveides iespēju;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studentu darba rezultātu analīzi un statistisko salīdzināšanu;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atskaišu izdruku;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atsevišķu studentu darbības zināšanu pārbaudi;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lastRenderedPageBreak/>
              <w:t>- iespēju sekot studentu apmācības progresam un sastaptajām grūtībām.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IP ir identiska visiem pielietojumiem. strādā datortīklā un ļauj sekot visu studentu apmācību procesam.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  <w:t>Studenta programmatūrai (SP)</w:t>
            </w: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 xml:space="preserve"> ir jāizskaidro. kā pielietot apmācību stendus un moduļus, kā veikt eksperimentus. un ko darīt attiecīgajā momentā.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 xml:space="preserve">Katram sistēmā iekļautajam apmācību modulim ir sava atsevišķa SP pakete. Tai ir jābūt ērti lietojamai. ar brīvu navigāciju starp tēmām. ar didaktiskām piezīmēm un ekrānattēlu ilustrācijām. 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Katrai SP paketei ir jāietver: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teorētisko daļu, kas studentam izskaidro pētāmo/apgūstamo subjektu;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vingrinājumus, kas ļauj studentam pārliecināties par apgūstamās teorijas izpratni;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lang w:eastAsia="ar-SA"/>
              </w:rPr>
              <w:t>- praktisko daļu, kas izskaidro kā veikt eksperimentus, iegūt un apstrādāt mērījumu rezultātus, izpildīt kontroles uzdevumus;</w:t>
            </w:r>
          </w:p>
          <w:p w:rsidR="008D77E8" w:rsidRPr="008D77E8" w:rsidRDefault="008D77E8" w:rsidP="008D77E8">
            <w:pPr>
              <w:suppressLineNumbers/>
              <w:suppressAutoHyphens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D77E8">
              <w:rPr>
                <w:rFonts w:ascii="Times New Roman" w:eastAsia="FuturaBT-Light" w:hAnsi="Times New Roman" w:cs="Times New Roman"/>
                <w:kern w:val="1"/>
                <w:sz w:val="24"/>
                <w:szCs w:val="24"/>
                <w:lang w:eastAsia="ar-SA"/>
              </w:rPr>
              <w:t>- eksāmenu daļu, ar jautājumiem par apgūto tēmu.</w:t>
            </w:r>
            <w:bookmarkStart w:id="0" w:name="_GoBack"/>
            <w:bookmarkEnd w:id="0"/>
          </w:p>
        </w:tc>
        <w:tc>
          <w:tcPr>
            <w:tcW w:w="4590" w:type="dxa"/>
          </w:tcPr>
          <w:p w:rsidR="008D77E8" w:rsidRPr="008D77E8" w:rsidRDefault="008D77E8" w:rsidP="008D77E8">
            <w:pPr>
              <w:suppressAutoHyphens/>
              <w:snapToGrid w:val="0"/>
              <w:spacing w:line="240" w:lineRule="auto"/>
              <w:jc w:val="left"/>
              <w:rPr>
                <w:rFonts w:ascii="Times New Roman" w:eastAsia="FuturaBT-Light" w:hAnsi="Times New Roman" w:cs="Times New Roman"/>
                <w:color w:val="0F080F"/>
                <w:kern w:val="1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8D77E8" w:rsidRDefault="008D77E8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405CC4">
      <w:pPr>
        <w:jc w:val="left"/>
        <w:rPr>
          <w:rFonts w:ascii="Times New Roman" w:hAnsi="Times New Roman" w:cs="Times New Roman"/>
        </w:rPr>
      </w:pPr>
    </w:p>
    <w:p w:rsidR="00016092" w:rsidRDefault="00016092" w:rsidP="00016092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</w:p>
    <w:p w:rsidR="00016092" w:rsidRPr="00405CC4" w:rsidRDefault="00016092" w:rsidP="00405CC4">
      <w:pPr>
        <w:jc w:val="left"/>
        <w:rPr>
          <w:rFonts w:ascii="Times New Roman" w:hAnsi="Times New Roman" w:cs="Times New Roman"/>
        </w:rPr>
      </w:pPr>
    </w:p>
    <w:sectPr w:rsidR="00016092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E8" w:rsidRDefault="008D77E8" w:rsidP="00405CC4">
      <w:pPr>
        <w:spacing w:line="240" w:lineRule="auto"/>
      </w:pPr>
      <w:r>
        <w:separator/>
      </w:r>
    </w:p>
  </w:endnote>
  <w:endnote w:type="continuationSeparator" w:id="0">
    <w:p w:rsidR="008D77E8" w:rsidRDefault="008D77E8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FuturaBT-Light">
    <w:altName w:val="Arial"/>
    <w:charset w:val="00"/>
    <w:family w:val="swiss"/>
    <w:pitch w:val="default"/>
  </w:font>
  <w:font w:name="VFYINY+FuturaLtBT">
    <w:charset w:val="00"/>
    <w:family w:val="swiss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7E8" w:rsidRDefault="008D7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0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D77E8" w:rsidRDefault="008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E8" w:rsidRDefault="008D77E8" w:rsidP="00405CC4">
      <w:pPr>
        <w:spacing w:line="240" w:lineRule="auto"/>
      </w:pPr>
      <w:r>
        <w:separator/>
      </w:r>
    </w:p>
  </w:footnote>
  <w:footnote w:type="continuationSeparator" w:id="0">
    <w:p w:rsidR="008D77E8" w:rsidRDefault="008D77E8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16092"/>
    <w:rsid w:val="00086FD8"/>
    <w:rsid w:val="00204004"/>
    <w:rsid w:val="00405CC4"/>
    <w:rsid w:val="00733C4C"/>
    <w:rsid w:val="00735062"/>
    <w:rsid w:val="008D77E8"/>
    <w:rsid w:val="00AA046A"/>
    <w:rsid w:val="00D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F6D06C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  <w:style w:type="paragraph" w:customStyle="1" w:styleId="TableContents">
    <w:name w:val="Table Contents"/>
    <w:basedOn w:val="Normal"/>
    <w:rsid w:val="00204004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1B49F-BB2D-40F3-A8E7-2945821A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9954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2018-09-12T07:23:00Z</dcterms:created>
  <dcterms:modified xsi:type="dcterms:W3CDTF">2018-09-12T07:23:00Z</dcterms:modified>
</cp:coreProperties>
</file>