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5B" w:rsidRPr="00FC3F25" w:rsidRDefault="00C70E5B" w:rsidP="00C70E5B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</w:t>
      </w:r>
      <w:r>
        <w:rPr>
          <w:rFonts w:eastAsia="Cambria"/>
          <w:kern w:val="56"/>
          <w:sz w:val="20"/>
          <w:szCs w:val="20"/>
        </w:rPr>
        <w:t>2</w:t>
      </w:r>
    </w:p>
    <w:p w:rsidR="00C70E5B" w:rsidRPr="00FC3F25" w:rsidRDefault="00C70E5B" w:rsidP="00C70E5B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C70E5B" w:rsidRPr="00FC3F25" w:rsidRDefault="00C70E5B" w:rsidP="00C70E5B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Pr="00FC3F25">
        <w:rPr>
          <w:rFonts w:eastAsia="Cambria"/>
          <w:kern w:val="56"/>
          <w:sz w:val="20"/>
          <w:szCs w:val="20"/>
        </w:rPr>
        <w:t>olikumam ID Nr. RTU-201</w:t>
      </w:r>
      <w:r>
        <w:rPr>
          <w:rFonts w:eastAsia="Cambria"/>
          <w:kern w:val="56"/>
          <w:sz w:val="20"/>
          <w:szCs w:val="20"/>
        </w:rPr>
        <w:t>8</w:t>
      </w:r>
      <w:r w:rsidRPr="00FC3F25">
        <w:rPr>
          <w:rFonts w:eastAsia="Cambria"/>
          <w:kern w:val="56"/>
          <w:sz w:val="20"/>
          <w:szCs w:val="20"/>
        </w:rPr>
        <w:t>/</w:t>
      </w:r>
      <w:r>
        <w:rPr>
          <w:rFonts w:eastAsia="Cambria"/>
          <w:kern w:val="56"/>
          <w:sz w:val="20"/>
          <w:szCs w:val="20"/>
        </w:rPr>
        <w:t>53</w:t>
      </w:r>
    </w:p>
    <w:p w:rsidR="00C70E5B" w:rsidRPr="00203B88" w:rsidRDefault="00C70E5B" w:rsidP="00C70E5B">
      <w:pPr>
        <w:tabs>
          <w:tab w:val="center" w:pos="4819"/>
        </w:tabs>
        <w:rPr>
          <w:rFonts w:eastAsia="Cambria"/>
          <w:kern w:val="56"/>
        </w:rPr>
      </w:pPr>
    </w:p>
    <w:p w:rsidR="00C70E5B" w:rsidRDefault="00C70E5B" w:rsidP="00C70E5B">
      <w:pPr>
        <w:jc w:val="center"/>
        <w:rPr>
          <w:rFonts w:eastAsia="Cambria"/>
          <w:b/>
          <w:kern w:val="56"/>
        </w:rPr>
      </w:pPr>
    </w:p>
    <w:p w:rsidR="001702E7" w:rsidRDefault="001702E7" w:rsidP="00C70E5B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 xml:space="preserve">APLIECINĀJUMS </w:t>
      </w:r>
    </w:p>
    <w:p w:rsidR="001702E7" w:rsidRDefault="001702E7" w:rsidP="001702E7">
      <w:pPr>
        <w:jc w:val="center"/>
        <w:rPr>
          <w:rFonts w:eastAsia="Cambria"/>
          <w:b/>
          <w:kern w:val="56"/>
        </w:rPr>
      </w:pPr>
      <w:r w:rsidRPr="001702E7">
        <w:rPr>
          <w:rFonts w:eastAsia="Cambria"/>
          <w:b/>
          <w:kern w:val="56"/>
        </w:rPr>
        <w:t>par atbilstību nolikuma 5.3.punktam</w:t>
      </w:r>
      <w:r>
        <w:rPr>
          <w:rFonts w:eastAsia="Cambria"/>
          <w:b/>
          <w:kern w:val="56"/>
        </w:rPr>
        <w:t xml:space="preserve"> </w:t>
      </w:r>
    </w:p>
    <w:p w:rsidR="001702E7" w:rsidRDefault="001702E7" w:rsidP="001702E7">
      <w:pPr>
        <w:jc w:val="center"/>
        <w:rPr>
          <w:rFonts w:eastAsia="Cambria"/>
          <w:b/>
          <w:kern w:val="56"/>
        </w:rPr>
      </w:pPr>
    </w:p>
    <w:p w:rsidR="00C70E5B" w:rsidRDefault="00C70E5B" w:rsidP="001702E7">
      <w:pPr>
        <w:jc w:val="center"/>
        <w:rPr>
          <w:rFonts w:eastAsia="Cambria"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Pr="006F3E49">
        <w:rPr>
          <w:rFonts w:eastAsia="Cambria"/>
          <w:b/>
          <w:bCs/>
          <w:kern w:val="56"/>
        </w:rPr>
        <w:t>Mēbeļu iegāde RTU MTAF vajadzībām</w:t>
      </w:r>
      <w:r w:rsidRPr="00DF1BAC">
        <w:rPr>
          <w:rFonts w:eastAsia="Cambria"/>
          <w:b/>
          <w:kern w:val="56"/>
        </w:rPr>
        <w:t>”</w:t>
      </w:r>
    </w:p>
    <w:p w:rsidR="00C70E5B" w:rsidRDefault="00C70E5B" w:rsidP="00C70E5B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t>–</w:t>
      </w:r>
      <w:r w:rsidRPr="00203B88">
        <w:rPr>
          <w:rFonts w:eastAsia="Cambria"/>
          <w:b/>
          <w:kern w:val="56"/>
        </w:rPr>
        <w:t> 201</w:t>
      </w:r>
      <w:r>
        <w:rPr>
          <w:rFonts w:eastAsia="Cambria"/>
          <w:b/>
          <w:kern w:val="56"/>
        </w:rPr>
        <w:t>8/53</w:t>
      </w:r>
    </w:p>
    <w:p w:rsidR="00C70E5B" w:rsidRDefault="00C70E5B" w:rsidP="00C70E5B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C70E5B" w:rsidRDefault="00C70E5B" w:rsidP="00C70E5B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C70E5B" w:rsidRDefault="00C70E5B" w:rsidP="00C70E5B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E227B6" w:rsidRDefault="00DB0D99"/>
    <w:p w:rsidR="001702E7" w:rsidRDefault="001702E7">
      <w:r>
        <w:t>Ar šo apliecinām, ka piegādājot Preci, ievērosim, ka:</w:t>
      </w:r>
    </w:p>
    <w:p w:rsidR="00C70E5B" w:rsidRPr="001702E7" w:rsidRDefault="00C70E5B" w:rsidP="001702E7">
      <w:pPr>
        <w:pStyle w:val="ListParagraph"/>
        <w:numPr>
          <w:ilvl w:val="0"/>
          <w:numId w:val="3"/>
        </w:numPr>
        <w:suppressAutoHyphens/>
        <w:jc w:val="both"/>
        <w:rPr>
          <w:sz w:val="22"/>
          <w:szCs w:val="22"/>
          <w:lang w:eastAsia="en-US"/>
        </w:rPr>
      </w:pPr>
      <w:proofErr w:type="spellStart"/>
      <w:r w:rsidRPr="001702E7">
        <w:rPr>
          <w:sz w:val="22"/>
          <w:szCs w:val="22"/>
          <w:lang w:val="en-GB" w:eastAsia="en-US"/>
        </w:rPr>
        <w:t>Koksnes</w:t>
      </w:r>
      <w:proofErr w:type="spellEnd"/>
      <w:r w:rsidRPr="001702E7">
        <w:rPr>
          <w:sz w:val="22"/>
          <w:szCs w:val="22"/>
          <w:lang w:val="en-GB" w:eastAsia="en-US"/>
        </w:rPr>
        <w:t xml:space="preserve">, </w:t>
      </w:r>
      <w:proofErr w:type="spellStart"/>
      <w:r w:rsidRPr="001702E7">
        <w:rPr>
          <w:sz w:val="22"/>
          <w:szCs w:val="22"/>
          <w:lang w:val="en-GB" w:eastAsia="en-US"/>
        </w:rPr>
        <w:t>plastmasas</w:t>
      </w:r>
      <w:proofErr w:type="spellEnd"/>
      <w:r w:rsidRPr="001702E7">
        <w:rPr>
          <w:sz w:val="22"/>
          <w:szCs w:val="22"/>
          <w:lang w:val="en-GB" w:eastAsia="en-US"/>
        </w:rPr>
        <w:t xml:space="preserve"> un </w:t>
      </w:r>
      <w:proofErr w:type="spellStart"/>
      <w:r w:rsidRPr="001702E7">
        <w:rPr>
          <w:sz w:val="22"/>
          <w:szCs w:val="22"/>
          <w:lang w:val="en-GB" w:eastAsia="en-US"/>
        </w:rPr>
        <w:t>metāla</w:t>
      </w:r>
      <w:proofErr w:type="spellEnd"/>
      <w:r w:rsidRPr="001702E7">
        <w:rPr>
          <w:sz w:val="22"/>
          <w:szCs w:val="22"/>
          <w:lang w:val="en-GB" w:eastAsia="en-US"/>
        </w:rPr>
        <w:t xml:space="preserve"> </w:t>
      </w:r>
      <w:proofErr w:type="spellStart"/>
      <w:r w:rsidRPr="001702E7">
        <w:rPr>
          <w:sz w:val="22"/>
          <w:szCs w:val="22"/>
          <w:lang w:val="en-GB" w:eastAsia="en-US"/>
        </w:rPr>
        <w:t>detaļu</w:t>
      </w:r>
      <w:proofErr w:type="spellEnd"/>
      <w:r w:rsidRPr="001702E7">
        <w:rPr>
          <w:sz w:val="22"/>
          <w:szCs w:val="22"/>
          <w:lang w:val="en-GB" w:eastAsia="en-US"/>
        </w:rPr>
        <w:t xml:space="preserve"> </w:t>
      </w:r>
      <w:proofErr w:type="spellStart"/>
      <w:r w:rsidRPr="001702E7">
        <w:rPr>
          <w:sz w:val="22"/>
          <w:szCs w:val="22"/>
          <w:lang w:val="en-GB" w:eastAsia="en-US"/>
        </w:rPr>
        <w:t>virsmu</w:t>
      </w:r>
      <w:proofErr w:type="spellEnd"/>
      <w:r w:rsidRPr="001702E7">
        <w:rPr>
          <w:sz w:val="22"/>
          <w:szCs w:val="22"/>
          <w:lang w:val="en-GB" w:eastAsia="en-US"/>
        </w:rPr>
        <w:t xml:space="preserve"> </w:t>
      </w:r>
      <w:proofErr w:type="spellStart"/>
      <w:r w:rsidRPr="001702E7">
        <w:rPr>
          <w:sz w:val="22"/>
          <w:szCs w:val="22"/>
          <w:lang w:val="en-GB" w:eastAsia="en-US"/>
        </w:rPr>
        <w:t>pārklājumi</w:t>
      </w:r>
      <w:proofErr w:type="spellEnd"/>
      <w:r w:rsidRPr="001702E7">
        <w:rPr>
          <w:sz w:val="22"/>
          <w:szCs w:val="22"/>
          <w:lang w:val="en-GB" w:eastAsia="en-US"/>
        </w:rPr>
        <w:t xml:space="preserve"> </w:t>
      </w:r>
      <w:proofErr w:type="spellStart"/>
      <w:r w:rsidRPr="001702E7">
        <w:rPr>
          <w:sz w:val="22"/>
          <w:szCs w:val="22"/>
          <w:lang w:val="en-GB" w:eastAsia="en-US"/>
        </w:rPr>
        <w:t>ne</w:t>
      </w:r>
      <w:r w:rsidR="001702E7">
        <w:rPr>
          <w:sz w:val="22"/>
          <w:szCs w:val="22"/>
          <w:lang w:val="en-GB" w:eastAsia="en-US"/>
        </w:rPr>
        <w:t>saturēs</w:t>
      </w:r>
      <w:proofErr w:type="spellEnd"/>
      <w:r w:rsidRPr="001702E7">
        <w:rPr>
          <w:sz w:val="22"/>
          <w:szCs w:val="22"/>
          <w:lang w:val="en-GB" w:eastAsia="en-US"/>
        </w:rPr>
        <w:t xml:space="preserve">: 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val="en-GB" w:eastAsia="en-US"/>
        </w:rPr>
      </w:pPr>
      <w:proofErr w:type="spellStart"/>
      <w:r w:rsidRPr="00C70E5B">
        <w:rPr>
          <w:sz w:val="22"/>
          <w:szCs w:val="22"/>
          <w:lang w:val="en-GB" w:eastAsia="en-US"/>
        </w:rPr>
        <w:t>bīstamās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vielas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kuras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atbilstoši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Direktīvai</w:t>
      </w:r>
      <w:proofErr w:type="spellEnd"/>
      <w:r w:rsidRPr="00C70E5B">
        <w:rPr>
          <w:sz w:val="22"/>
          <w:szCs w:val="22"/>
          <w:lang w:val="en-GB" w:eastAsia="en-US"/>
        </w:rPr>
        <w:t xml:space="preserve"> 1999/45/EC </w:t>
      </w:r>
      <w:proofErr w:type="spellStart"/>
      <w:r w:rsidRPr="00C70E5B">
        <w:rPr>
          <w:sz w:val="22"/>
          <w:szCs w:val="22"/>
          <w:lang w:val="en-GB" w:eastAsia="en-US"/>
        </w:rPr>
        <w:t>ir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kancerogēnas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reproduktīvās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sistēmas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bojātājas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mutagēnas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toksiskas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alerģiskas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ieelpojot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vai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bīstamas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videi</w:t>
      </w:r>
      <w:proofErr w:type="spellEnd"/>
      <w:r w:rsidRPr="00C70E5B">
        <w:rPr>
          <w:sz w:val="22"/>
          <w:szCs w:val="22"/>
          <w:lang w:val="en-GB" w:eastAsia="en-US"/>
        </w:rPr>
        <w:t xml:space="preserve">; 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val="en-GB" w:eastAsia="en-US"/>
        </w:rPr>
      </w:pPr>
      <w:proofErr w:type="spellStart"/>
      <w:r w:rsidRPr="00C70E5B">
        <w:rPr>
          <w:sz w:val="22"/>
          <w:szCs w:val="22"/>
          <w:lang w:val="en-GB" w:eastAsia="en-US"/>
        </w:rPr>
        <w:t>halogēnorganiskos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liesmu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novērsējus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ftalātus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aziridīnamīdus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poli-aziridīnamīdus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vai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svinu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kadmiju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hromu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dzīvsudrabu</w:t>
      </w:r>
      <w:proofErr w:type="spellEnd"/>
      <w:r w:rsidRPr="00C70E5B">
        <w:rPr>
          <w:sz w:val="22"/>
          <w:szCs w:val="22"/>
          <w:lang w:val="en-GB" w:eastAsia="en-US"/>
        </w:rPr>
        <w:t xml:space="preserve"> un to </w:t>
      </w:r>
      <w:proofErr w:type="spellStart"/>
      <w:r w:rsidRPr="00C70E5B">
        <w:rPr>
          <w:sz w:val="22"/>
          <w:szCs w:val="22"/>
          <w:lang w:val="en-GB" w:eastAsia="en-US"/>
        </w:rPr>
        <w:t>savienojumus</w:t>
      </w:r>
      <w:proofErr w:type="spellEnd"/>
      <w:r w:rsidRPr="00C70E5B">
        <w:rPr>
          <w:sz w:val="22"/>
          <w:szCs w:val="22"/>
          <w:lang w:val="en-GB" w:eastAsia="en-US"/>
        </w:rPr>
        <w:t xml:space="preserve">; 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proofErr w:type="spellStart"/>
      <w:r w:rsidRPr="00C70E5B">
        <w:rPr>
          <w:sz w:val="22"/>
          <w:szCs w:val="22"/>
          <w:lang w:val="en-GB" w:eastAsia="en-US"/>
        </w:rPr>
        <w:t>gaistošos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organiskos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savienojumus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ja</w:t>
      </w:r>
      <w:proofErr w:type="spellEnd"/>
      <w:r w:rsidRPr="00C70E5B">
        <w:rPr>
          <w:sz w:val="22"/>
          <w:szCs w:val="22"/>
          <w:lang w:val="en-GB" w:eastAsia="en-US"/>
        </w:rPr>
        <w:t xml:space="preserve"> to </w:t>
      </w:r>
      <w:proofErr w:type="spellStart"/>
      <w:r w:rsidRPr="00C70E5B">
        <w:rPr>
          <w:sz w:val="22"/>
          <w:szCs w:val="22"/>
          <w:lang w:val="en-GB" w:eastAsia="en-US"/>
        </w:rPr>
        <w:t>īpatsvars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pārsniedz</w:t>
      </w:r>
      <w:proofErr w:type="spellEnd"/>
      <w:r w:rsidRPr="00C70E5B">
        <w:rPr>
          <w:sz w:val="22"/>
          <w:szCs w:val="22"/>
          <w:lang w:val="en-GB" w:eastAsia="en-US"/>
        </w:rPr>
        <w:t xml:space="preserve"> 5% </w:t>
      </w:r>
      <w:proofErr w:type="spellStart"/>
      <w:r w:rsidRPr="00C70E5B">
        <w:rPr>
          <w:sz w:val="22"/>
          <w:szCs w:val="22"/>
          <w:lang w:val="en-GB" w:eastAsia="en-US"/>
        </w:rPr>
        <w:t>pārklājuma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masas</w:t>
      </w:r>
      <w:proofErr w:type="spellEnd"/>
      <w:r w:rsidRPr="00C70E5B">
        <w:rPr>
          <w:sz w:val="22"/>
          <w:szCs w:val="22"/>
          <w:lang w:val="en-GB" w:eastAsia="en-US"/>
        </w:rPr>
        <w:t>;</w:t>
      </w:r>
    </w:p>
    <w:p w:rsidR="00C70E5B" w:rsidRPr="00C70E5B" w:rsidRDefault="00C70E5B" w:rsidP="001702E7">
      <w:pPr>
        <w:pStyle w:val="ListParagraph"/>
        <w:numPr>
          <w:ilvl w:val="0"/>
          <w:numId w:val="3"/>
        </w:numPr>
        <w:suppressAutoHyphens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 xml:space="preserve">Mēbelēm </w:t>
      </w:r>
      <w:r w:rsidR="001702E7">
        <w:rPr>
          <w:sz w:val="22"/>
          <w:szCs w:val="22"/>
          <w:lang w:eastAsia="en-US"/>
        </w:rPr>
        <w:t xml:space="preserve">tiks </w:t>
      </w:r>
      <w:r w:rsidRPr="00C70E5B">
        <w:rPr>
          <w:sz w:val="22"/>
          <w:szCs w:val="22"/>
          <w:lang w:eastAsia="en-US"/>
        </w:rPr>
        <w:t>izmanto</w:t>
      </w:r>
      <w:r w:rsidR="001702E7">
        <w:rPr>
          <w:sz w:val="22"/>
          <w:szCs w:val="22"/>
          <w:lang w:eastAsia="en-US"/>
        </w:rPr>
        <w:t>ti</w:t>
      </w:r>
      <w:r w:rsidRPr="00C70E5B">
        <w:rPr>
          <w:sz w:val="22"/>
          <w:szCs w:val="22"/>
          <w:lang w:eastAsia="en-US"/>
        </w:rPr>
        <w:t xml:space="preserve"> viegli tīrāmi un veselībai nekaitīgi materiāli.</w:t>
      </w:r>
    </w:p>
    <w:p w:rsidR="00C70E5B" w:rsidRPr="00614F26" w:rsidRDefault="00C70E5B" w:rsidP="00614F26">
      <w:pPr>
        <w:pStyle w:val="ListParagraph"/>
        <w:numPr>
          <w:ilvl w:val="0"/>
          <w:numId w:val="3"/>
        </w:numPr>
        <w:suppressAutoHyphens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M</w:t>
      </w:r>
      <w:r w:rsidR="001702E7">
        <w:rPr>
          <w:sz w:val="22"/>
          <w:szCs w:val="22"/>
          <w:lang w:eastAsia="en-US"/>
        </w:rPr>
        <w:t>ēbeles</w:t>
      </w:r>
      <w:r w:rsidRPr="00C70E5B">
        <w:rPr>
          <w:sz w:val="22"/>
          <w:szCs w:val="22"/>
          <w:lang w:eastAsia="en-US"/>
        </w:rPr>
        <w:t xml:space="preserve"> </w:t>
      </w:r>
      <w:r w:rsidR="001702E7">
        <w:rPr>
          <w:sz w:val="22"/>
          <w:szCs w:val="22"/>
          <w:lang w:eastAsia="en-US"/>
        </w:rPr>
        <w:t>atbildīs</w:t>
      </w:r>
      <w:r w:rsidRPr="00C70E5B">
        <w:rPr>
          <w:sz w:val="22"/>
          <w:szCs w:val="22"/>
          <w:lang w:eastAsia="en-US"/>
        </w:rPr>
        <w:t xml:space="preserve"> šādiem standartiem (</w:t>
      </w:r>
      <w:r w:rsidRPr="00C70E5B">
        <w:rPr>
          <w:sz w:val="22"/>
          <w:szCs w:val="22"/>
          <w:u w:val="single"/>
          <w:lang w:eastAsia="en-US"/>
        </w:rPr>
        <w:t>ja attiecināms</w:t>
      </w:r>
      <w:r w:rsidRPr="00C70E5B">
        <w:rPr>
          <w:sz w:val="22"/>
          <w:szCs w:val="22"/>
          <w:lang w:eastAsia="en-US"/>
        </w:rPr>
        <w:t>)</w:t>
      </w:r>
      <w:r w:rsidR="001702E7">
        <w:rPr>
          <w:sz w:val="22"/>
          <w:szCs w:val="22"/>
          <w:lang w:eastAsia="en-US"/>
        </w:rPr>
        <w:t xml:space="preserve"> vai</w:t>
      </w:r>
      <w:r w:rsidR="00614F26">
        <w:rPr>
          <w:sz w:val="22"/>
          <w:szCs w:val="22"/>
          <w:lang w:eastAsia="en-US"/>
        </w:rPr>
        <w:t xml:space="preserve"> </w:t>
      </w:r>
      <w:r w:rsidR="00614F26" w:rsidRPr="00614F26">
        <w:rPr>
          <w:sz w:val="22"/>
          <w:szCs w:val="22"/>
          <w:lang w:eastAsia="en-US"/>
        </w:rPr>
        <w:t>to jaunākajām versijām, vai to aizstājējiem</w:t>
      </w:r>
      <w:r w:rsidR="00614F26">
        <w:rPr>
          <w:sz w:val="22"/>
          <w:szCs w:val="22"/>
          <w:lang w:eastAsia="en-US"/>
        </w:rPr>
        <w:t xml:space="preserve">, vai </w:t>
      </w:r>
      <w:r w:rsidR="001702E7" w:rsidRPr="00614F26">
        <w:rPr>
          <w:sz w:val="22"/>
          <w:szCs w:val="22"/>
          <w:lang w:eastAsia="en-US"/>
        </w:rPr>
        <w:t>zemāk minēto standartu ekvivalentiem</w:t>
      </w:r>
      <w:r w:rsidR="00614F26">
        <w:rPr>
          <w:sz w:val="22"/>
          <w:szCs w:val="22"/>
          <w:lang w:eastAsia="en-US"/>
        </w:rPr>
        <w:t>*</w:t>
      </w:r>
      <w:r w:rsidRPr="00614F26">
        <w:rPr>
          <w:sz w:val="22"/>
          <w:szCs w:val="22"/>
          <w:lang w:eastAsia="en-US"/>
        </w:rPr>
        <w:t>: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12528:2002 – Ritentiņi un riteņi – Ritentiņi mēbelēm – Prasības;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14073-2:2004 – Biroja mēbeles – Mēbeles dokumentu glabāšanai – 2.daļa: Drošības prasības;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14073-3:2004 – Biroja mēbeles – Mēbeles dokumentu glabāšanai. 3.daļa: Konstrukciju stabilitātes un stiprības noteikšanas;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14074:2004 – Biroja mēbeles – Galdi, rakstāmgaldi un mēbeles dokumentu glabāšanai - Kustīgo daļu stiprības un ilgizturības noteikšanas testa metodes;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527-2:2011 – Biroja mēbeles – Biroja mēbeles. Biroja darba galdi. 1.daļa: Izmēri;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527-2:2017 – Biroja mēbeles – Galdi – 2.daļa: Drošuma, stiprības un ilgizturības prasības;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 xml:space="preserve">Materiālu atbilstība standartiem: formaldehīdu un citu izgarojumu līmenis </w:t>
      </w:r>
      <w:proofErr w:type="spellStart"/>
      <w:r w:rsidRPr="00C70E5B">
        <w:rPr>
          <w:sz w:val="22"/>
          <w:szCs w:val="22"/>
          <w:lang w:eastAsia="en-US"/>
        </w:rPr>
        <w:t>kokskaidu</w:t>
      </w:r>
      <w:proofErr w:type="spellEnd"/>
      <w:r w:rsidRPr="00C70E5B">
        <w:rPr>
          <w:sz w:val="22"/>
          <w:szCs w:val="22"/>
          <w:lang w:eastAsia="en-US"/>
        </w:rPr>
        <w:t xml:space="preserve"> plāksnē atbilstoši E1 standartam LVS EN 13986+A1:2015 – Celtniecībā lietojamās koksnes plātnes ‒ Īpašības, atbilstības novērtēšana un marķēšana;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 xml:space="preserve">LVS EN 312:2011 – </w:t>
      </w:r>
      <w:proofErr w:type="spellStart"/>
      <w:r w:rsidRPr="00C70E5B">
        <w:rPr>
          <w:sz w:val="22"/>
          <w:szCs w:val="22"/>
          <w:lang w:eastAsia="en-US"/>
        </w:rPr>
        <w:t>Kokskaidu</w:t>
      </w:r>
      <w:proofErr w:type="spellEnd"/>
      <w:r w:rsidRPr="00C70E5B">
        <w:rPr>
          <w:sz w:val="22"/>
          <w:szCs w:val="22"/>
          <w:lang w:eastAsia="en-US"/>
        </w:rPr>
        <w:t xml:space="preserve"> plātnes – Specifikācijas</w:t>
      </w:r>
      <w:r w:rsidR="00DB0D99">
        <w:rPr>
          <w:sz w:val="22"/>
          <w:szCs w:val="22"/>
          <w:lang w:eastAsia="en-US"/>
        </w:rPr>
        <w:t>.</w:t>
      </w:r>
    </w:p>
    <w:p w:rsidR="00F6133D" w:rsidRDefault="00F6133D"/>
    <w:p w:rsidR="00F6133D" w:rsidRPr="00614F26" w:rsidRDefault="00614F26" w:rsidP="00614F26">
      <w:pPr>
        <w:pStyle w:val="ListParagraph"/>
        <w:numPr>
          <w:ilvl w:val="0"/>
          <w:numId w:val="4"/>
        </w:numPr>
        <w:jc w:val="both"/>
        <w:rPr>
          <w:b/>
          <w:i/>
        </w:rPr>
      </w:pPr>
      <w:r w:rsidRPr="00614F26">
        <w:rPr>
          <w:b/>
          <w:i/>
        </w:rPr>
        <w:t>Norādīt katra piedāvātā ekvivalenta standarta Nr., nosaukumu, ekvivalences salīdzinājumu.</w:t>
      </w:r>
    </w:p>
    <w:p w:rsidR="00DB0D99" w:rsidRDefault="00DB0D99"/>
    <w:p w:rsidR="00F6133D" w:rsidRDefault="00F6133D">
      <w:bookmarkStart w:id="0" w:name="_GoBack"/>
      <w:bookmarkEnd w:id="0"/>
      <w:r>
        <w:t>Paraksta tiesīgās personas paraksts un atšifrējums ___________________________</w:t>
      </w:r>
    </w:p>
    <w:sectPr w:rsidR="00F613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007F"/>
    <w:multiLevelType w:val="hybridMultilevel"/>
    <w:tmpl w:val="0C022420"/>
    <w:lvl w:ilvl="0" w:tplc="E8D82CB8">
      <w:numFmt w:val="bullet"/>
      <w:lvlText w:val="•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9CF4F66"/>
    <w:multiLevelType w:val="hybridMultilevel"/>
    <w:tmpl w:val="2D403A0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D04DEA"/>
    <w:multiLevelType w:val="hybridMultilevel"/>
    <w:tmpl w:val="571C3AA0"/>
    <w:lvl w:ilvl="0" w:tplc="46B4D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5B"/>
    <w:rsid w:val="00086FD8"/>
    <w:rsid w:val="001702E7"/>
    <w:rsid w:val="00601B85"/>
    <w:rsid w:val="00614F26"/>
    <w:rsid w:val="00AA046A"/>
    <w:rsid w:val="00C70E5B"/>
    <w:rsid w:val="00DB0D99"/>
    <w:rsid w:val="00F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CE0BE"/>
  <w15:chartTrackingRefBased/>
  <w15:docId w15:val="{A0D55CF6-7DA3-43C3-B1DC-97BE4A7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dcterms:created xsi:type="dcterms:W3CDTF">2018-07-13T11:33:00Z</dcterms:created>
  <dcterms:modified xsi:type="dcterms:W3CDTF">2018-07-17T08:17:00Z</dcterms:modified>
</cp:coreProperties>
</file>