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04AF" w14:textId="77777777" w:rsidR="00D10745" w:rsidRPr="00630033" w:rsidRDefault="00D10745" w:rsidP="00D10745">
      <w:pPr>
        <w:keepNext/>
        <w:widowControl w:val="0"/>
        <w:jc w:val="right"/>
        <w:rPr>
          <w:b/>
          <w:sz w:val="18"/>
          <w:szCs w:val="18"/>
          <w:lang w:eastAsia="lv-LV"/>
        </w:rPr>
      </w:pPr>
      <w:bookmarkStart w:id="0" w:name="_Toc154971710"/>
      <w:bookmarkStart w:id="1" w:name="_GoBack"/>
      <w:bookmarkEnd w:id="1"/>
      <w:r w:rsidRPr="00630033">
        <w:rPr>
          <w:b/>
          <w:sz w:val="18"/>
          <w:szCs w:val="18"/>
          <w:lang w:eastAsia="lv-LV"/>
        </w:rPr>
        <w:t>Pielikums Nr.</w:t>
      </w:r>
      <w:r>
        <w:rPr>
          <w:b/>
          <w:sz w:val="18"/>
          <w:szCs w:val="18"/>
          <w:lang w:eastAsia="lv-LV"/>
        </w:rPr>
        <w:t>2</w:t>
      </w:r>
    </w:p>
    <w:p w14:paraId="08A760C1" w14:textId="77777777" w:rsidR="00D10745" w:rsidRPr="00630033" w:rsidRDefault="00D10745" w:rsidP="00D10745">
      <w:pPr>
        <w:keepNext/>
        <w:widowControl w:val="0"/>
        <w:suppressAutoHyphens w:val="0"/>
        <w:autoSpaceDE w:val="0"/>
        <w:autoSpaceDN w:val="0"/>
        <w:jc w:val="right"/>
        <w:rPr>
          <w:b/>
          <w:sz w:val="18"/>
          <w:szCs w:val="18"/>
          <w:lang w:eastAsia="lv-LV"/>
        </w:rPr>
      </w:pPr>
      <w:r w:rsidRPr="00630033">
        <w:rPr>
          <w:sz w:val="18"/>
          <w:szCs w:val="18"/>
          <w:lang w:eastAsia="en-US"/>
        </w:rPr>
        <w:t xml:space="preserve">konkursa nolikumam </w:t>
      </w:r>
    </w:p>
    <w:p w14:paraId="183781EA" w14:textId="77777777" w:rsidR="00D10745" w:rsidRPr="00630033" w:rsidRDefault="00D10745" w:rsidP="00D10745">
      <w:pPr>
        <w:keepNext/>
        <w:widowControl w:val="0"/>
        <w:suppressAutoHyphens w:val="0"/>
        <w:autoSpaceDE w:val="0"/>
        <w:autoSpaceDN w:val="0"/>
        <w:jc w:val="right"/>
        <w:rPr>
          <w:sz w:val="18"/>
          <w:szCs w:val="18"/>
          <w:lang w:eastAsia="lv-LV"/>
        </w:rPr>
      </w:pPr>
      <w:r w:rsidRPr="00630033">
        <w:rPr>
          <w:sz w:val="18"/>
          <w:szCs w:val="18"/>
          <w:lang w:eastAsia="lv-LV"/>
        </w:rPr>
        <w:t xml:space="preserve"> (id. Nr.: RTU-2018/32)</w:t>
      </w:r>
    </w:p>
    <w:p w14:paraId="247FB185" w14:textId="77777777" w:rsidR="00D10745" w:rsidRPr="00B54A43" w:rsidRDefault="00D10745" w:rsidP="00D10745">
      <w:pPr>
        <w:jc w:val="right"/>
        <w:rPr>
          <w:b/>
        </w:rPr>
      </w:pPr>
    </w:p>
    <w:p w14:paraId="51CA080B" w14:textId="77777777" w:rsidR="00D10745" w:rsidRDefault="00D10745" w:rsidP="00D10745">
      <w:pPr>
        <w:jc w:val="center"/>
        <w:rPr>
          <w:b/>
        </w:rPr>
      </w:pPr>
    </w:p>
    <w:p w14:paraId="4EA367D6" w14:textId="77777777" w:rsidR="00D10745" w:rsidRDefault="00D10745" w:rsidP="00D10745">
      <w:pPr>
        <w:jc w:val="center"/>
        <w:rPr>
          <w:b/>
        </w:rPr>
      </w:pPr>
      <w:r>
        <w:rPr>
          <w:b/>
        </w:rPr>
        <w:t>Konkursa</w:t>
      </w:r>
    </w:p>
    <w:p w14:paraId="6DD34E69" w14:textId="77777777" w:rsidR="00D10745" w:rsidRDefault="00D10745" w:rsidP="00D10745">
      <w:pPr>
        <w:jc w:val="center"/>
        <w:rPr>
          <w:b/>
          <w:bCs/>
        </w:rPr>
      </w:pPr>
      <w:r>
        <w:rPr>
          <w:b/>
          <w:bCs/>
        </w:rPr>
        <w:t>“</w:t>
      </w:r>
      <w:r w:rsidRPr="00630033">
        <w:rPr>
          <w:b/>
          <w:bCs/>
        </w:rPr>
        <w:t>Būvprojekta ekspertīzes pakalpojumi</w:t>
      </w:r>
      <w:r>
        <w:rPr>
          <w:b/>
          <w:bCs/>
        </w:rPr>
        <w:t>”</w:t>
      </w:r>
    </w:p>
    <w:p w14:paraId="5E7411E5" w14:textId="77777777" w:rsidR="00D10745" w:rsidRDefault="00D10745" w:rsidP="00D10745">
      <w:pPr>
        <w:jc w:val="center"/>
        <w:rPr>
          <w:b/>
        </w:rPr>
      </w:pPr>
      <w:r>
        <w:rPr>
          <w:b/>
          <w:bCs/>
        </w:rPr>
        <w:t xml:space="preserve">id Nr. </w:t>
      </w:r>
      <w:r>
        <w:rPr>
          <w:b/>
        </w:rPr>
        <w:t>RTU-2018/32</w:t>
      </w:r>
    </w:p>
    <w:p w14:paraId="25DF72DB" w14:textId="77777777" w:rsidR="00D10745" w:rsidRDefault="00D10745" w:rsidP="00D10745">
      <w:pPr>
        <w:jc w:val="center"/>
        <w:rPr>
          <w:b/>
        </w:rPr>
      </w:pPr>
    </w:p>
    <w:p w14:paraId="08460E48" w14:textId="77777777" w:rsidR="00D10745" w:rsidRPr="00B54A43" w:rsidRDefault="00D10745" w:rsidP="00D10745">
      <w:pPr>
        <w:jc w:val="center"/>
        <w:rPr>
          <w:b/>
        </w:rPr>
      </w:pPr>
      <w:r>
        <w:rPr>
          <w:b/>
        </w:rPr>
        <w:t>Tehniskā specifikācija</w:t>
      </w:r>
    </w:p>
    <w:p w14:paraId="41B06104" w14:textId="77777777" w:rsidR="00847B8B" w:rsidRPr="00B54A43" w:rsidRDefault="00847B8B" w:rsidP="00847B8B">
      <w:pPr>
        <w:jc w:val="both"/>
        <w:rPr>
          <w:b/>
        </w:rPr>
      </w:pPr>
    </w:p>
    <w:p w14:paraId="2686A607" w14:textId="77777777" w:rsidR="00847B8B" w:rsidRPr="00B54A43" w:rsidRDefault="00847B8B" w:rsidP="00847B8B">
      <w:pPr>
        <w:jc w:val="both"/>
        <w:rPr>
          <w:b/>
        </w:rPr>
      </w:pPr>
    </w:p>
    <w:p w14:paraId="169C30A3" w14:textId="77777777" w:rsidR="00847B8B" w:rsidRPr="007B03EB" w:rsidRDefault="00847B8B" w:rsidP="00847B8B">
      <w:pPr>
        <w:suppressAutoHyphens w:val="0"/>
        <w:spacing w:line="276" w:lineRule="auto"/>
        <w:ind w:firstLine="284"/>
        <w:jc w:val="both"/>
        <w:rPr>
          <w:szCs w:val="22"/>
          <w:lang w:eastAsia="lv-LV"/>
        </w:rPr>
      </w:pPr>
      <w:r w:rsidRPr="007B03EB">
        <w:rPr>
          <w:b/>
          <w:szCs w:val="22"/>
          <w:lang w:eastAsia="lv-LV"/>
        </w:rPr>
        <w:t>1. Būvprojektu ekspertīzes veikšanas kārtība:</w:t>
      </w:r>
    </w:p>
    <w:p w14:paraId="0102ABBE" w14:textId="77777777" w:rsidR="00847B8B" w:rsidRPr="007B03EB" w:rsidRDefault="00847B8B" w:rsidP="00847B8B">
      <w:pPr>
        <w:numPr>
          <w:ilvl w:val="1"/>
          <w:numId w:val="2"/>
        </w:numPr>
        <w:suppressAutoHyphens w:val="0"/>
        <w:spacing w:line="276" w:lineRule="auto"/>
        <w:ind w:left="851" w:hanging="425"/>
        <w:jc w:val="both"/>
        <w:rPr>
          <w:szCs w:val="22"/>
          <w:lang w:eastAsia="lv-LV"/>
        </w:rPr>
      </w:pPr>
      <w:r w:rsidRPr="007B03EB">
        <w:rPr>
          <w:szCs w:val="22"/>
          <w:lang w:eastAsia="lv-LV"/>
        </w:rPr>
        <w:t xml:space="preserve">Pasūtītājs ar aktu izsniedz izpildītājam būvprojekta sējumus, katru vienā eksemplārā. </w:t>
      </w:r>
    </w:p>
    <w:p w14:paraId="5E835949" w14:textId="77777777" w:rsidR="00847B8B" w:rsidRPr="007B03EB" w:rsidRDefault="00847B8B" w:rsidP="00847B8B">
      <w:pPr>
        <w:numPr>
          <w:ilvl w:val="1"/>
          <w:numId w:val="2"/>
        </w:numPr>
        <w:tabs>
          <w:tab w:val="left" w:pos="426"/>
        </w:tabs>
        <w:suppressAutoHyphens w:val="0"/>
        <w:spacing w:line="276" w:lineRule="auto"/>
        <w:ind w:left="851" w:hanging="425"/>
        <w:jc w:val="both"/>
        <w:rPr>
          <w:szCs w:val="22"/>
          <w:lang w:eastAsia="lv-LV"/>
        </w:rPr>
      </w:pPr>
      <w:r w:rsidRPr="007B03EB">
        <w:rPr>
          <w:szCs w:val="22"/>
          <w:lang w:eastAsia="lv-LV"/>
        </w:rPr>
        <w:t>Pēc būvprojekta ekspertīzes veikšanas izpildītājs atgriež pasūtītājam visus saņemtos būvprojekta sējumus.</w:t>
      </w:r>
    </w:p>
    <w:p w14:paraId="70052760" w14:textId="77777777" w:rsidR="00847B8B" w:rsidRPr="007B03EB" w:rsidRDefault="00847B8B" w:rsidP="00847B8B">
      <w:pPr>
        <w:numPr>
          <w:ilvl w:val="1"/>
          <w:numId w:val="2"/>
        </w:numPr>
        <w:tabs>
          <w:tab w:val="left" w:pos="426"/>
        </w:tabs>
        <w:suppressAutoHyphens w:val="0"/>
        <w:spacing w:line="276" w:lineRule="auto"/>
        <w:ind w:left="851" w:hanging="425"/>
        <w:jc w:val="both"/>
        <w:rPr>
          <w:szCs w:val="22"/>
          <w:lang w:eastAsia="lv-LV"/>
        </w:rPr>
      </w:pPr>
      <w:r>
        <w:rPr>
          <w:szCs w:val="22"/>
          <w:lang w:eastAsia="lv-LV"/>
        </w:rPr>
        <w:t xml:space="preserve">Ekspertīzes atzinums jāiesniedz </w:t>
      </w:r>
      <w:r w:rsidRPr="007B03EB">
        <w:rPr>
          <w:szCs w:val="22"/>
          <w:lang w:eastAsia="lv-LV"/>
        </w:rPr>
        <w:t xml:space="preserve">ne </w:t>
      </w:r>
      <w:r>
        <w:rPr>
          <w:szCs w:val="22"/>
          <w:lang w:eastAsia="lv-LV"/>
        </w:rPr>
        <w:t xml:space="preserve">vēlāk </w:t>
      </w:r>
      <w:r w:rsidRPr="007B03EB">
        <w:rPr>
          <w:szCs w:val="22"/>
          <w:lang w:eastAsia="lv-LV"/>
        </w:rPr>
        <w:t xml:space="preserve">kā 30 </w:t>
      </w:r>
      <w:r>
        <w:rPr>
          <w:szCs w:val="22"/>
          <w:lang w:eastAsia="lv-LV"/>
        </w:rPr>
        <w:t>(</w:t>
      </w:r>
      <w:r w:rsidRPr="005E4954">
        <w:rPr>
          <w:i/>
          <w:szCs w:val="22"/>
          <w:lang w:eastAsia="lv-LV"/>
        </w:rPr>
        <w:t>trīsdesmit</w:t>
      </w:r>
      <w:r>
        <w:rPr>
          <w:szCs w:val="22"/>
          <w:lang w:eastAsia="lv-LV"/>
        </w:rPr>
        <w:t xml:space="preserve">) </w:t>
      </w:r>
      <w:r w:rsidRPr="007B03EB">
        <w:rPr>
          <w:szCs w:val="22"/>
          <w:lang w:eastAsia="lv-LV"/>
        </w:rPr>
        <w:t>kalendāro dienu laikā pēc būvprojekta saņemšanas.</w:t>
      </w:r>
      <w:r>
        <w:rPr>
          <w:szCs w:val="22"/>
          <w:lang w:eastAsia="lv-LV"/>
        </w:rPr>
        <w:t xml:space="preserve"> </w:t>
      </w:r>
      <w:r w:rsidRPr="00593001">
        <w:rPr>
          <w:szCs w:val="22"/>
          <w:lang w:eastAsia="lv-LV"/>
        </w:rPr>
        <w:t>B</w:t>
      </w:r>
      <w:r w:rsidRPr="00593001">
        <w:t>ūvprojekta izmaiņu ekspertīzes gadījumos ekspertīzes atzinums jāiesniedz ne vēlāk kā 14 (</w:t>
      </w:r>
      <w:r w:rsidRPr="00593001">
        <w:rPr>
          <w:i/>
        </w:rPr>
        <w:t>četrpadsmit</w:t>
      </w:r>
      <w:r w:rsidRPr="00593001">
        <w:t>) kalendāro dienu laikā pēc attiecīgās dokumentācijas saņemšanas.</w:t>
      </w:r>
    </w:p>
    <w:p w14:paraId="10C47BB9" w14:textId="77777777" w:rsidR="00847B8B" w:rsidRPr="007B03EB" w:rsidRDefault="00847B8B" w:rsidP="00847B8B">
      <w:pPr>
        <w:numPr>
          <w:ilvl w:val="1"/>
          <w:numId w:val="2"/>
        </w:numPr>
        <w:tabs>
          <w:tab w:val="left" w:pos="426"/>
        </w:tabs>
        <w:suppressAutoHyphens w:val="0"/>
        <w:spacing w:after="120" w:line="276" w:lineRule="auto"/>
        <w:ind w:left="851" w:hanging="425"/>
        <w:jc w:val="both"/>
        <w:rPr>
          <w:szCs w:val="22"/>
          <w:lang w:eastAsia="lv-LV"/>
        </w:rPr>
      </w:pPr>
      <w:r w:rsidRPr="007B03EB">
        <w:rPr>
          <w:szCs w:val="22"/>
          <w:lang w:eastAsia="lv-LV"/>
        </w:rPr>
        <w:t xml:space="preserve">Būvprojekta autors pēc ekspertīzes slēdziena saņemšanas veic norādīto nepilnību novēršanu. Pēc kļūdu novēršanas izpildītājs veic būvprojekta atkārtotu izvērtēšanu un pārbaudi, un sniedz būvprojekta ekspertīzes atzinumu ne ilgāk kā 7 </w:t>
      </w:r>
      <w:r>
        <w:rPr>
          <w:szCs w:val="22"/>
          <w:lang w:eastAsia="lv-LV"/>
        </w:rPr>
        <w:t>(</w:t>
      </w:r>
      <w:r w:rsidRPr="005E4954">
        <w:rPr>
          <w:i/>
          <w:szCs w:val="22"/>
          <w:lang w:eastAsia="lv-LV"/>
        </w:rPr>
        <w:t>septiņu</w:t>
      </w:r>
      <w:r>
        <w:rPr>
          <w:szCs w:val="22"/>
          <w:lang w:eastAsia="lv-LV"/>
        </w:rPr>
        <w:t xml:space="preserve">) </w:t>
      </w:r>
      <w:r w:rsidRPr="007B03EB">
        <w:rPr>
          <w:szCs w:val="22"/>
          <w:lang w:eastAsia="lv-LV"/>
        </w:rPr>
        <w:t>kalendāro dienu laikā pēc koriģētā būvprojekta saņemšanas.</w:t>
      </w:r>
    </w:p>
    <w:p w14:paraId="5CCB26C5" w14:textId="77777777" w:rsidR="00847B8B" w:rsidRPr="007B03EB" w:rsidRDefault="00847B8B" w:rsidP="00847B8B">
      <w:pPr>
        <w:numPr>
          <w:ilvl w:val="0"/>
          <w:numId w:val="2"/>
        </w:numPr>
        <w:tabs>
          <w:tab w:val="left" w:pos="426"/>
        </w:tabs>
        <w:suppressAutoHyphens w:val="0"/>
        <w:spacing w:line="276" w:lineRule="auto"/>
        <w:ind w:hanging="436"/>
        <w:jc w:val="both"/>
        <w:rPr>
          <w:b/>
          <w:color w:val="000000"/>
          <w:szCs w:val="22"/>
          <w:shd w:val="clear" w:color="auto" w:fill="FFFFFF"/>
          <w:lang w:eastAsia="lv-LV"/>
        </w:rPr>
      </w:pPr>
      <w:r w:rsidRPr="007B03EB">
        <w:rPr>
          <w:b/>
          <w:szCs w:val="22"/>
          <w:lang w:eastAsia="lv-LV"/>
        </w:rPr>
        <w:t>Būvprojekta ekspertīze tiek veikta:</w:t>
      </w:r>
    </w:p>
    <w:p w14:paraId="789B471A" w14:textId="77777777" w:rsidR="00847B8B" w:rsidRPr="007B03EB" w:rsidRDefault="00847B8B" w:rsidP="00847B8B">
      <w:pPr>
        <w:numPr>
          <w:ilvl w:val="1"/>
          <w:numId w:val="2"/>
        </w:numPr>
        <w:tabs>
          <w:tab w:val="left" w:pos="426"/>
        </w:tabs>
        <w:suppressAutoHyphens w:val="0"/>
        <w:spacing w:line="276" w:lineRule="auto"/>
        <w:ind w:left="851" w:hanging="425"/>
        <w:jc w:val="both"/>
        <w:rPr>
          <w:b/>
          <w:noProof/>
          <w:color w:val="000000"/>
          <w:kern w:val="1"/>
          <w:szCs w:val="22"/>
          <w:shd w:val="clear" w:color="auto" w:fill="FFFFFF"/>
          <w:lang w:eastAsia="lv-LV" w:bidi="hi-IN"/>
        </w:rPr>
      </w:pPr>
      <w:r w:rsidRPr="007B03EB">
        <w:rPr>
          <w:noProof/>
          <w:kern w:val="1"/>
          <w:szCs w:val="22"/>
          <w:lang w:eastAsia="lv-LV" w:bidi="hi-IN"/>
        </w:rPr>
        <w:t xml:space="preserve">atbilstoši </w:t>
      </w:r>
      <w:r w:rsidRPr="007B03EB">
        <w:rPr>
          <w:bCs/>
          <w:noProof/>
          <w:kern w:val="1"/>
          <w:szCs w:val="22"/>
          <w:lang w:eastAsia="lv-LV" w:bidi="hi-IN"/>
        </w:rPr>
        <w:t>Ministru kabineta 2014.gada 2.septembra noteikumu Nr.529</w:t>
      </w:r>
      <w:r w:rsidRPr="007B03EB">
        <w:rPr>
          <w:noProof/>
          <w:kern w:val="1"/>
          <w:szCs w:val="22"/>
          <w:lang w:eastAsia="lv-LV" w:bidi="hi-IN"/>
        </w:rPr>
        <w:t> </w:t>
      </w:r>
      <w:r w:rsidRPr="007B03EB">
        <w:rPr>
          <w:bCs/>
          <w:noProof/>
          <w:kern w:val="1"/>
          <w:szCs w:val="22"/>
          <w:lang w:eastAsia="lv-LV" w:bidi="hi-IN"/>
        </w:rPr>
        <w:t xml:space="preserve">,,Ēku būvnoteikumi” </w:t>
      </w:r>
      <w:r w:rsidRPr="007B03EB">
        <w:rPr>
          <w:noProof/>
          <w:kern w:val="1"/>
          <w:szCs w:val="22"/>
          <w:lang w:eastAsia="lv-LV" w:bidi="hi-IN"/>
        </w:rPr>
        <w:t>6.nodaļas 6.4. apakšnodaļas prasībām:</w:t>
      </w:r>
    </w:p>
    <w:p w14:paraId="7803B417" w14:textId="77777777" w:rsidR="00847B8B" w:rsidRPr="007B03EB" w:rsidRDefault="00847B8B" w:rsidP="00847B8B">
      <w:pPr>
        <w:numPr>
          <w:ilvl w:val="2"/>
          <w:numId w:val="2"/>
        </w:numPr>
        <w:tabs>
          <w:tab w:val="left" w:pos="426"/>
          <w:tab w:val="left" w:pos="851"/>
        </w:tabs>
        <w:suppressAutoHyphens w:val="0"/>
        <w:spacing w:line="276" w:lineRule="auto"/>
        <w:ind w:hanging="1091"/>
        <w:jc w:val="both"/>
        <w:rPr>
          <w:b/>
          <w:noProof/>
          <w:kern w:val="1"/>
          <w:szCs w:val="22"/>
          <w:lang w:val="en-US" w:eastAsia="lv-LV" w:bidi="hi-IN"/>
        </w:rPr>
      </w:pPr>
      <w:r w:rsidRPr="007B03EB">
        <w:rPr>
          <w:b/>
          <w:noProof/>
          <w:kern w:val="1"/>
          <w:szCs w:val="22"/>
          <w:lang w:val="en-US" w:eastAsia="lv-LV" w:bidi="hi-IN"/>
        </w:rPr>
        <w:lastRenderedPageBreak/>
        <w:t xml:space="preserve">arhitektūras daļai; </w:t>
      </w:r>
    </w:p>
    <w:p w14:paraId="4120DC1A" w14:textId="77777777" w:rsidR="00847B8B" w:rsidRPr="007B03EB" w:rsidRDefault="00847B8B" w:rsidP="00847B8B">
      <w:pPr>
        <w:numPr>
          <w:ilvl w:val="2"/>
          <w:numId w:val="2"/>
        </w:numPr>
        <w:tabs>
          <w:tab w:val="left" w:pos="426"/>
          <w:tab w:val="left" w:pos="851"/>
        </w:tabs>
        <w:suppressAutoHyphens w:val="0"/>
        <w:spacing w:line="276" w:lineRule="auto"/>
        <w:ind w:hanging="1091"/>
        <w:jc w:val="both"/>
        <w:rPr>
          <w:b/>
          <w:noProof/>
          <w:kern w:val="1"/>
          <w:szCs w:val="22"/>
          <w:lang w:val="en-US" w:eastAsia="lv-LV" w:bidi="hi-IN"/>
        </w:rPr>
      </w:pPr>
      <w:r w:rsidRPr="007B03EB">
        <w:rPr>
          <w:b/>
          <w:noProof/>
          <w:kern w:val="1"/>
          <w:szCs w:val="22"/>
          <w:lang w:val="en-US" w:eastAsia="lv-LV" w:bidi="hi-IN"/>
        </w:rPr>
        <w:t>būvkonstrukciju sadaļai;</w:t>
      </w:r>
    </w:p>
    <w:p w14:paraId="24A8B421" w14:textId="77777777" w:rsidR="00847B8B" w:rsidRPr="007B03EB" w:rsidRDefault="00847B8B" w:rsidP="00847B8B">
      <w:pPr>
        <w:numPr>
          <w:ilvl w:val="2"/>
          <w:numId w:val="2"/>
        </w:numPr>
        <w:tabs>
          <w:tab w:val="left" w:pos="426"/>
          <w:tab w:val="left" w:pos="851"/>
        </w:tabs>
        <w:suppressAutoHyphens w:val="0"/>
        <w:spacing w:line="276" w:lineRule="auto"/>
        <w:ind w:hanging="1091"/>
        <w:jc w:val="both"/>
        <w:rPr>
          <w:b/>
          <w:noProof/>
          <w:kern w:val="1"/>
          <w:szCs w:val="22"/>
          <w:lang w:val="en-US" w:eastAsia="lv-LV" w:bidi="hi-IN"/>
        </w:rPr>
      </w:pPr>
      <w:r w:rsidRPr="007B03EB">
        <w:rPr>
          <w:b/>
          <w:noProof/>
          <w:kern w:val="1"/>
          <w:szCs w:val="22"/>
          <w:lang w:val="en-US" w:eastAsia="lv-LV" w:bidi="hi-IN"/>
        </w:rPr>
        <w:t>ekonomiskajai daļai</w:t>
      </w:r>
      <w:r w:rsidRPr="007B03EB">
        <w:rPr>
          <w:noProof/>
          <w:kern w:val="1"/>
          <w:szCs w:val="22"/>
          <w:lang w:val="en-US" w:eastAsia="lv-LV" w:bidi="hi-IN"/>
        </w:rPr>
        <w:t>;</w:t>
      </w:r>
    </w:p>
    <w:p w14:paraId="771311EE" w14:textId="77777777" w:rsidR="00847B8B" w:rsidRPr="007B03EB" w:rsidRDefault="00847B8B" w:rsidP="00D10745">
      <w:pPr>
        <w:numPr>
          <w:ilvl w:val="2"/>
          <w:numId w:val="2"/>
        </w:numPr>
        <w:tabs>
          <w:tab w:val="left" w:pos="426"/>
          <w:tab w:val="left" w:pos="851"/>
        </w:tabs>
        <w:suppressAutoHyphens w:val="0"/>
        <w:spacing w:line="276" w:lineRule="auto"/>
        <w:ind w:hanging="1091"/>
        <w:jc w:val="both"/>
        <w:rPr>
          <w:b/>
          <w:noProof/>
          <w:kern w:val="1"/>
          <w:szCs w:val="22"/>
          <w:lang w:val="en-US" w:eastAsia="lv-LV" w:bidi="hi-IN"/>
        </w:rPr>
      </w:pPr>
      <w:r w:rsidRPr="007B03EB">
        <w:rPr>
          <w:b/>
          <w:noProof/>
          <w:kern w:val="1"/>
          <w:szCs w:val="22"/>
          <w:lang w:val="en-US" w:eastAsia="lv-LV" w:bidi="hi-IN"/>
        </w:rPr>
        <w:t>ugunsdrošības pasākumu pārskatam</w:t>
      </w:r>
      <w:r w:rsidRPr="007B03EB">
        <w:rPr>
          <w:noProof/>
          <w:kern w:val="1"/>
          <w:szCs w:val="22"/>
          <w:lang w:val="en-US" w:eastAsia="lv-LV" w:bidi="hi-IN"/>
        </w:rPr>
        <w:t xml:space="preserve">, kā arī citu būvprojekta sadaļu ugunsdrošības risinājumiem; </w:t>
      </w:r>
    </w:p>
    <w:p w14:paraId="31A3BD4A" w14:textId="77777777" w:rsidR="00847B8B" w:rsidRPr="007B03EB" w:rsidRDefault="00847B8B" w:rsidP="00847B8B">
      <w:pPr>
        <w:numPr>
          <w:ilvl w:val="2"/>
          <w:numId w:val="2"/>
        </w:numPr>
        <w:tabs>
          <w:tab w:val="left" w:pos="426"/>
          <w:tab w:val="left" w:pos="851"/>
        </w:tabs>
        <w:suppressAutoHyphens w:val="0"/>
        <w:spacing w:line="276" w:lineRule="auto"/>
        <w:ind w:hanging="1091"/>
        <w:jc w:val="both"/>
        <w:rPr>
          <w:b/>
          <w:noProof/>
          <w:kern w:val="1"/>
          <w:szCs w:val="22"/>
          <w:lang w:val="en-US" w:eastAsia="lv-LV" w:bidi="hi-IN"/>
        </w:rPr>
      </w:pPr>
      <w:r w:rsidRPr="007B03EB">
        <w:rPr>
          <w:b/>
          <w:noProof/>
          <w:kern w:val="1"/>
          <w:szCs w:val="22"/>
          <w:lang w:val="en-US" w:eastAsia="lv-LV" w:bidi="hi-IN"/>
        </w:rPr>
        <w:t>darba organizēšanas projektam</w:t>
      </w:r>
      <w:r w:rsidRPr="007B03EB">
        <w:rPr>
          <w:noProof/>
          <w:kern w:val="1"/>
          <w:szCs w:val="22"/>
          <w:lang w:val="en-US" w:eastAsia="lv-LV" w:bidi="hi-IN"/>
        </w:rPr>
        <w:t xml:space="preserve">; </w:t>
      </w:r>
    </w:p>
    <w:p w14:paraId="71A19406" w14:textId="77777777" w:rsidR="00847B8B" w:rsidRPr="007B03EB" w:rsidRDefault="00847B8B" w:rsidP="00D10745">
      <w:pPr>
        <w:numPr>
          <w:ilvl w:val="2"/>
          <w:numId w:val="2"/>
        </w:numPr>
        <w:tabs>
          <w:tab w:val="left" w:pos="426"/>
          <w:tab w:val="left" w:pos="851"/>
        </w:tabs>
        <w:suppressAutoHyphens w:val="0"/>
        <w:spacing w:line="276" w:lineRule="auto"/>
        <w:ind w:hanging="1091"/>
        <w:jc w:val="both"/>
        <w:rPr>
          <w:b/>
          <w:noProof/>
          <w:color w:val="000000"/>
          <w:kern w:val="1"/>
          <w:szCs w:val="22"/>
          <w:shd w:val="clear" w:color="auto" w:fill="FFFFFF"/>
          <w:lang w:val="en-US" w:eastAsia="lv-LV" w:bidi="hi-IN"/>
        </w:rPr>
      </w:pPr>
      <w:r w:rsidRPr="007B03EB">
        <w:rPr>
          <w:b/>
          <w:noProof/>
          <w:kern w:val="1"/>
          <w:szCs w:val="22"/>
          <w:lang w:val="en-US" w:eastAsia="lv-LV" w:bidi="hi-IN"/>
        </w:rPr>
        <w:t>energoefektivitātes novērtējumam</w:t>
      </w:r>
      <w:r w:rsidRPr="007B03EB">
        <w:rPr>
          <w:noProof/>
          <w:kern w:val="1"/>
          <w:szCs w:val="22"/>
          <w:lang w:val="en-US" w:eastAsia="lv-LV" w:bidi="hi-IN"/>
        </w:rPr>
        <w:t xml:space="preserve"> aprēķinātajai energoefektivitātei, kā to nosaka Ēku energoefektivitātes likums;</w:t>
      </w:r>
    </w:p>
    <w:p w14:paraId="3A43D218" w14:textId="7AEFC9C8" w:rsidR="00847B8B" w:rsidRPr="00541D44" w:rsidRDefault="00847B8B" w:rsidP="00847B8B">
      <w:pPr>
        <w:suppressAutoHyphens w:val="0"/>
        <w:spacing w:after="120"/>
        <w:ind w:left="851" w:hanging="426"/>
        <w:jc w:val="both"/>
        <w:rPr>
          <w:noProof/>
          <w:color w:val="000000"/>
          <w:kern w:val="1"/>
          <w:szCs w:val="22"/>
          <w:shd w:val="clear" w:color="auto" w:fill="FFFFFF"/>
          <w:lang w:val="en-US" w:eastAsia="lv-LV" w:bidi="hi-IN"/>
        </w:rPr>
      </w:pPr>
      <w:r w:rsidRPr="00541D44">
        <w:rPr>
          <w:noProof/>
          <w:color w:val="000000"/>
          <w:kern w:val="1"/>
          <w:szCs w:val="22"/>
          <w:shd w:val="clear" w:color="auto" w:fill="FFFFFF"/>
          <w:lang w:val="en-US" w:eastAsia="lv-LV" w:bidi="hi-IN"/>
        </w:rPr>
        <w:t>2.</w:t>
      </w:r>
      <w:r w:rsidR="002B576A">
        <w:rPr>
          <w:noProof/>
          <w:color w:val="000000"/>
          <w:kern w:val="1"/>
          <w:szCs w:val="22"/>
          <w:shd w:val="clear" w:color="auto" w:fill="FFFFFF"/>
          <w:lang w:val="en-US" w:eastAsia="lv-LV" w:bidi="hi-IN"/>
        </w:rPr>
        <w:t>2</w:t>
      </w:r>
      <w:r w:rsidRPr="00541D44">
        <w:rPr>
          <w:noProof/>
          <w:color w:val="000000"/>
          <w:kern w:val="1"/>
          <w:szCs w:val="22"/>
          <w:shd w:val="clear" w:color="auto" w:fill="FFFFFF"/>
          <w:lang w:val="en-US" w:eastAsia="lv-LV" w:bidi="hi-IN"/>
        </w:rPr>
        <w:t>.</w:t>
      </w:r>
      <w:r>
        <w:rPr>
          <w:b/>
          <w:noProof/>
          <w:color w:val="000000"/>
          <w:kern w:val="1"/>
          <w:szCs w:val="22"/>
          <w:shd w:val="clear" w:color="auto" w:fill="FFFFFF"/>
          <w:lang w:val="en-US" w:eastAsia="lv-LV" w:bidi="hi-IN"/>
        </w:rPr>
        <w:tab/>
      </w:r>
      <w:r w:rsidRPr="00593001">
        <w:rPr>
          <w:noProof/>
          <w:color w:val="000000"/>
          <w:kern w:val="1"/>
          <w:szCs w:val="22"/>
          <w:shd w:val="clear" w:color="auto" w:fill="FFFFFF"/>
          <w:lang w:val="en-US" w:eastAsia="lv-LV" w:bidi="hi-IN"/>
        </w:rPr>
        <w:t>Noslēgtās vispārīgās vienošanās ietvaros nosūtot izpildītājiem uzaicinājumu iesniegt piedāvājumu, uzaicinājumā var tikt precizētas katra konkrētā būvprojekta sadaļas, kurām veicama būvekspertīze.</w:t>
      </w:r>
      <w:r w:rsidRPr="00541D44">
        <w:rPr>
          <w:noProof/>
          <w:color w:val="000000"/>
          <w:kern w:val="1"/>
          <w:szCs w:val="22"/>
          <w:shd w:val="clear" w:color="auto" w:fill="FFFFFF"/>
          <w:lang w:val="en-US" w:eastAsia="lv-LV" w:bidi="hi-IN"/>
        </w:rPr>
        <w:t xml:space="preserve"> </w:t>
      </w:r>
    </w:p>
    <w:p w14:paraId="56DFB0A5" w14:textId="77777777" w:rsidR="00847B8B" w:rsidRPr="007B03EB" w:rsidRDefault="00847B8B" w:rsidP="00847B8B">
      <w:pPr>
        <w:numPr>
          <w:ilvl w:val="0"/>
          <w:numId w:val="2"/>
        </w:numPr>
        <w:tabs>
          <w:tab w:val="left" w:pos="426"/>
        </w:tabs>
        <w:suppressAutoHyphens w:val="0"/>
        <w:spacing w:line="276" w:lineRule="auto"/>
        <w:ind w:hanging="436"/>
        <w:jc w:val="both"/>
        <w:rPr>
          <w:b/>
          <w:color w:val="000000"/>
          <w:szCs w:val="22"/>
          <w:shd w:val="clear" w:color="auto" w:fill="FFFFFF"/>
          <w:lang w:eastAsia="lv-LV"/>
        </w:rPr>
      </w:pPr>
      <w:r w:rsidRPr="007B03EB">
        <w:rPr>
          <w:b/>
          <w:color w:val="000000"/>
          <w:szCs w:val="22"/>
          <w:shd w:val="clear" w:color="auto" w:fill="FFFFFF"/>
          <w:lang w:eastAsia="lv-LV"/>
        </w:rPr>
        <w:t xml:space="preserve">Darba uzdevums </w:t>
      </w:r>
      <w:r w:rsidRPr="007B03EB">
        <w:rPr>
          <w:b/>
          <w:szCs w:val="22"/>
          <w:lang w:eastAsia="lv-LV"/>
        </w:rPr>
        <w:t xml:space="preserve">būvprojekta </w:t>
      </w:r>
      <w:r w:rsidRPr="007B03EB">
        <w:rPr>
          <w:b/>
          <w:color w:val="000000"/>
          <w:szCs w:val="22"/>
          <w:shd w:val="clear" w:color="auto" w:fill="FFFFFF"/>
          <w:lang w:eastAsia="lv-LV"/>
        </w:rPr>
        <w:t>ekspertīzei, izpildītājam:</w:t>
      </w:r>
    </w:p>
    <w:p w14:paraId="5E88802F" w14:textId="77777777" w:rsidR="00847B8B" w:rsidRPr="007B03EB" w:rsidRDefault="00847B8B" w:rsidP="00847B8B">
      <w:pPr>
        <w:numPr>
          <w:ilvl w:val="1"/>
          <w:numId w:val="2"/>
        </w:numPr>
        <w:tabs>
          <w:tab w:val="left" w:pos="426"/>
        </w:tabs>
        <w:suppressAutoHyphens w:val="0"/>
        <w:spacing w:line="276" w:lineRule="auto"/>
        <w:ind w:left="851" w:hanging="425"/>
        <w:jc w:val="both"/>
        <w:rPr>
          <w:b/>
          <w:szCs w:val="22"/>
          <w:lang w:eastAsia="lv-LV"/>
        </w:rPr>
      </w:pPr>
      <w:r w:rsidRPr="007B03EB">
        <w:rPr>
          <w:szCs w:val="22"/>
        </w:rPr>
        <w:t>noteikt būvprojekta atbilstību projektēšanas uzdevumam, normatīvo aktu, tehnisko noteikumu un standartu prasībām;</w:t>
      </w:r>
    </w:p>
    <w:p w14:paraId="35AA6789"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b/>
          <w:szCs w:val="22"/>
          <w:lang w:eastAsia="lv-LV"/>
        </w:rPr>
      </w:pPr>
      <w:r w:rsidRPr="007B03EB">
        <w:rPr>
          <w:szCs w:val="22"/>
        </w:rPr>
        <w:t>pārbaudīt būvprojektā paredzēto konstruktīvo risinājumu un materiālu izvēles atbilstību būves funkcionalitātes un ilgmūžības prasībām;</w:t>
      </w:r>
    </w:p>
    <w:p w14:paraId="6552D227"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b/>
          <w:szCs w:val="22"/>
          <w:lang w:eastAsia="lv-LV"/>
        </w:rPr>
      </w:pPr>
      <w:r w:rsidRPr="007B03EB">
        <w:rPr>
          <w:szCs w:val="22"/>
        </w:rPr>
        <w:t>pārbaudīt darba daudzumu aprēķinu pareizību un atbilstību rasējumiem un būvprojekta specifikācijām,</w:t>
      </w:r>
      <w:r w:rsidRPr="007B03EB">
        <w:rPr>
          <w:szCs w:val="22"/>
          <w:lang w:eastAsia="lv-LV"/>
        </w:rPr>
        <w:t xml:space="preserve"> izvērtējot būvizstrādājumu izvēles ekonomisko pamatojumu saskaņā ar projektēšanas uzdevumu, kā arī izmaksās iekļauto darba pozīciju pietiekamību, jo būvprojekta izstrādi un īstenošanu finansē no publisko tiesību juridisko personu un Eiropas Savienības politiku instrumentu finanšu palīdzības līdzekļiem;</w:t>
      </w:r>
    </w:p>
    <w:p w14:paraId="355504C6"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szCs w:val="22"/>
          <w:lang w:eastAsia="lv-LV"/>
        </w:rPr>
      </w:pPr>
      <w:r w:rsidRPr="007B03EB">
        <w:rPr>
          <w:szCs w:val="22"/>
          <w:lang w:eastAsia="lv-LV"/>
        </w:rPr>
        <w:t>pārbaudīt atsevišķo būvprojekta daļu ietvaros izstrādāto risinājumu savstarpējo saskaņotību un būvprojekta daļu atbilstību būvprojektam kopumā, īpaši pievēršot uzmanību būvkonstrukciju un inženiertīklu krustojumiem;</w:t>
      </w:r>
    </w:p>
    <w:p w14:paraId="19A4FB45"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szCs w:val="22"/>
          <w:lang w:eastAsia="lv-LV"/>
        </w:rPr>
      </w:pPr>
      <w:r w:rsidRPr="007B03EB">
        <w:rPr>
          <w:szCs w:val="22"/>
          <w:lang w:eastAsia="lv-LV"/>
        </w:rPr>
        <w:lastRenderedPageBreak/>
        <w:t>izvērtēt projektēto nozīmīgo būvkonstrukciju noturību, pārbaudīt slodžu un konstrukciju aprēķinus;</w:t>
      </w:r>
    </w:p>
    <w:p w14:paraId="153E5F5E"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szCs w:val="22"/>
          <w:lang w:eastAsia="lv-LV"/>
        </w:rPr>
      </w:pPr>
      <w:r w:rsidRPr="007B03EB">
        <w:rPr>
          <w:szCs w:val="22"/>
          <w:lang w:eastAsia="lv-LV"/>
        </w:rPr>
        <w:t>pārbaudīt būvprojekta detalizācijas pakāpes pietiekamību būvobjekta būvdarbu kvalitatīvai veikšanai;</w:t>
      </w:r>
    </w:p>
    <w:p w14:paraId="14DD4882" w14:textId="77777777" w:rsidR="00847B8B" w:rsidRPr="007B03EB" w:rsidRDefault="00847B8B" w:rsidP="00847B8B">
      <w:pPr>
        <w:numPr>
          <w:ilvl w:val="1"/>
          <w:numId w:val="2"/>
        </w:numPr>
        <w:tabs>
          <w:tab w:val="left" w:pos="426"/>
          <w:tab w:val="left" w:pos="851"/>
        </w:tabs>
        <w:suppressAutoHyphens w:val="0"/>
        <w:spacing w:line="276" w:lineRule="auto"/>
        <w:ind w:left="851" w:hanging="425"/>
        <w:jc w:val="both"/>
        <w:rPr>
          <w:szCs w:val="22"/>
          <w:lang w:eastAsia="lv-LV"/>
        </w:rPr>
      </w:pPr>
      <w:r w:rsidRPr="007B03EB">
        <w:rPr>
          <w:szCs w:val="22"/>
          <w:lang w:eastAsia="lv-LV"/>
        </w:rPr>
        <w:t>pārbaudīt būvprojekta risinājumu atbilstību vides pieejamības prasībām personām ar funkcionālajiem traucējumiem atbilstoši normatīvo aktu prasībām;</w:t>
      </w:r>
    </w:p>
    <w:p w14:paraId="08334EEA" w14:textId="77777777" w:rsidR="00847B8B" w:rsidRDefault="00847B8B" w:rsidP="00847B8B">
      <w:pPr>
        <w:numPr>
          <w:ilvl w:val="1"/>
          <w:numId w:val="2"/>
        </w:numPr>
        <w:suppressAutoHyphens w:val="0"/>
        <w:spacing w:line="276" w:lineRule="auto"/>
        <w:ind w:left="851" w:hanging="425"/>
        <w:jc w:val="both"/>
        <w:rPr>
          <w:b/>
          <w:color w:val="000000"/>
          <w:szCs w:val="22"/>
          <w:shd w:val="clear" w:color="auto" w:fill="FFFFFF"/>
          <w:lang w:eastAsia="lv-LV"/>
        </w:rPr>
      </w:pPr>
      <w:r w:rsidRPr="007B03EB">
        <w:rPr>
          <w:szCs w:val="22"/>
          <w:lang w:eastAsia="lv-LV"/>
        </w:rPr>
        <w:t xml:space="preserve">pārbaudīt būvprojekta risinājumu atsevišķu sadaļu savstarpējo </w:t>
      </w:r>
      <w:r>
        <w:rPr>
          <w:szCs w:val="22"/>
          <w:lang w:eastAsia="lv-LV"/>
        </w:rPr>
        <w:t>savietojamību;</w:t>
      </w:r>
    </w:p>
    <w:p w14:paraId="33671683" w14:textId="77777777" w:rsidR="00847B8B" w:rsidRPr="00593001" w:rsidRDefault="00847B8B" w:rsidP="00847B8B">
      <w:pPr>
        <w:numPr>
          <w:ilvl w:val="1"/>
          <w:numId w:val="2"/>
        </w:numPr>
        <w:suppressAutoHyphens w:val="0"/>
        <w:ind w:left="993" w:hanging="567"/>
        <w:jc w:val="both"/>
        <w:rPr>
          <w:b/>
          <w:color w:val="000000"/>
          <w:szCs w:val="22"/>
          <w:shd w:val="clear" w:color="auto" w:fill="FFFFFF"/>
          <w:lang w:eastAsia="lv-LV"/>
        </w:rPr>
      </w:pPr>
      <w:r w:rsidRPr="00593001">
        <w:rPr>
          <w:color w:val="000000"/>
          <w:szCs w:val="22"/>
          <w:shd w:val="clear" w:color="auto" w:fill="FFFFFF"/>
          <w:lang w:eastAsia="lv-LV"/>
        </w:rPr>
        <w:t>pārbaudīt vai ir izvēlēti tādi tehniskie parametri visiem ārējās un iekšējās apdares materiāliem, santehnikai un gaismekļiem, kuru sasniegšanai būvdarbu iepirkumā var piedāvāt vismaz divus materiālu ražotājus;</w:t>
      </w:r>
    </w:p>
    <w:p w14:paraId="14D77F93" w14:textId="77777777" w:rsidR="00847B8B" w:rsidRPr="007B03EB" w:rsidRDefault="00847B8B" w:rsidP="00847B8B">
      <w:pPr>
        <w:numPr>
          <w:ilvl w:val="1"/>
          <w:numId w:val="2"/>
        </w:numPr>
        <w:suppressAutoHyphens w:val="0"/>
        <w:spacing w:line="276" w:lineRule="auto"/>
        <w:ind w:left="993" w:hanging="567"/>
        <w:jc w:val="both"/>
        <w:rPr>
          <w:b/>
          <w:color w:val="000000"/>
          <w:szCs w:val="22"/>
          <w:shd w:val="clear" w:color="auto" w:fill="FFFFFF"/>
          <w:lang w:eastAsia="lv-LV"/>
        </w:rPr>
      </w:pPr>
      <w:r w:rsidRPr="007B03EB">
        <w:rPr>
          <w:szCs w:val="22"/>
          <w:lang w:eastAsia="lv-LV"/>
        </w:rPr>
        <w:t>izpildītājam ir tiesības pieprasīt un saņemt no būvprojekta izstrādātāja projektēto būvkonstrukciju slodžu un konstrukciju aprēķinus, tāmi un apjomus, kā arī citu informāciju par b</w:t>
      </w:r>
      <w:r>
        <w:rPr>
          <w:szCs w:val="22"/>
          <w:lang w:eastAsia="lv-LV"/>
        </w:rPr>
        <w:t>ūvprojektu;</w:t>
      </w:r>
    </w:p>
    <w:p w14:paraId="2A45F808" w14:textId="77777777" w:rsidR="00847B8B" w:rsidRPr="007B03EB" w:rsidRDefault="00847B8B" w:rsidP="00847B8B">
      <w:pPr>
        <w:numPr>
          <w:ilvl w:val="1"/>
          <w:numId w:val="2"/>
        </w:numPr>
        <w:suppressAutoHyphens w:val="0"/>
        <w:ind w:left="993" w:hanging="567"/>
        <w:jc w:val="both"/>
        <w:rPr>
          <w:b/>
          <w:color w:val="000000"/>
          <w:szCs w:val="22"/>
          <w:shd w:val="clear" w:color="auto" w:fill="FFFFFF"/>
          <w:lang w:eastAsia="lv-LV"/>
        </w:rPr>
      </w:pPr>
      <w:r w:rsidRPr="007B03EB">
        <w:rPr>
          <w:szCs w:val="22"/>
          <w:lang w:eastAsia="lv-LV"/>
        </w:rPr>
        <w:t xml:space="preserve">ekspertīzes laikā konstatēto trūkumu novēršanai izpildītājam ir tiesības pieprasīt un saņemt no būvprojekta izstrādātāja būvprojekta dokumentācijas labojumus un iekļaut </w:t>
      </w:r>
      <w:r>
        <w:rPr>
          <w:szCs w:val="22"/>
          <w:lang w:eastAsia="lv-LV"/>
        </w:rPr>
        <w:t>tos ekspertīzes gala slēdzienā;</w:t>
      </w:r>
    </w:p>
    <w:p w14:paraId="59490546" w14:textId="77777777" w:rsidR="00847B8B" w:rsidRPr="007B03EB" w:rsidRDefault="00847B8B" w:rsidP="00847B8B">
      <w:pPr>
        <w:numPr>
          <w:ilvl w:val="1"/>
          <w:numId w:val="2"/>
        </w:numPr>
        <w:suppressAutoHyphens w:val="0"/>
        <w:ind w:left="993" w:hanging="567"/>
        <w:jc w:val="both"/>
        <w:rPr>
          <w:b/>
          <w:color w:val="000000"/>
          <w:szCs w:val="22"/>
          <w:shd w:val="clear" w:color="auto" w:fill="FFFFFF"/>
          <w:lang w:eastAsia="lv-LV"/>
        </w:rPr>
      </w:pPr>
      <w:r w:rsidRPr="007B03EB">
        <w:rPr>
          <w:szCs w:val="22"/>
          <w:lang w:eastAsia="lv-LV"/>
        </w:rPr>
        <w:t>izpildītājs nav tiesīgs mainīt būvprojekta dokumentācijas saturu vai veikt labojumus b</w:t>
      </w:r>
      <w:r>
        <w:rPr>
          <w:szCs w:val="22"/>
          <w:lang w:eastAsia="lv-LV"/>
        </w:rPr>
        <w:t>ūvprojektā;</w:t>
      </w:r>
    </w:p>
    <w:p w14:paraId="615C3B60" w14:textId="77777777" w:rsidR="00847B8B" w:rsidRPr="00C65E4C" w:rsidRDefault="00847B8B" w:rsidP="00847B8B">
      <w:pPr>
        <w:numPr>
          <w:ilvl w:val="1"/>
          <w:numId w:val="2"/>
        </w:numPr>
        <w:suppressAutoHyphens w:val="0"/>
        <w:ind w:left="992" w:hanging="567"/>
        <w:jc w:val="both"/>
        <w:rPr>
          <w:b/>
          <w:color w:val="000000"/>
          <w:szCs w:val="22"/>
          <w:shd w:val="clear" w:color="auto" w:fill="FFFFFF"/>
          <w:lang w:eastAsia="lv-LV"/>
        </w:rPr>
      </w:pPr>
      <w:r>
        <w:rPr>
          <w:szCs w:val="22"/>
          <w:lang w:eastAsia="lv-LV"/>
        </w:rPr>
        <w:t>p</w:t>
      </w:r>
      <w:r w:rsidRPr="007B03EB">
        <w:rPr>
          <w:szCs w:val="22"/>
          <w:lang w:eastAsia="lv-LV"/>
        </w:rPr>
        <w:t>ēc ekspertīzes atzinuma iesniegšanas, projektētājs novērš norādītās neatbilstības, ja tādas tiek konst</w:t>
      </w:r>
      <w:r>
        <w:rPr>
          <w:szCs w:val="22"/>
          <w:lang w:eastAsia="lv-LV"/>
        </w:rPr>
        <w:t>atētas. Ekspertīzes veicējam 1.4</w:t>
      </w:r>
      <w:r w:rsidRPr="007B03EB">
        <w:rPr>
          <w:szCs w:val="22"/>
          <w:lang w:eastAsia="lv-LV"/>
        </w:rPr>
        <w:t xml:space="preserve">.punktā noteiktajā termiņā jāpārbauda un jāizvērtē, vai norādītās neatbilstības ir novērstas. Visi uzskaitītie pienākumi izpildītājam jāveic līdz </w:t>
      </w:r>
      <w:r>
        <w:rPr>
          <w:szCs w:val="22"/>
          <w:lang w:eastAsia="lv-LV"/>
        </w:rPr>
        <w:t>pozitīvam ekspertīzes atzinumam;</w:t>
      </w:r>
    </w:p>
    <w:p w14:paraId="2A5EAFC3" w14:textId="526A82B9" w:rsidR="00847B8B" w:rsidRPr="00593001" w:rsidRDefault="00847B8B" w:rsidP="00847B8B">
      <w:pPr>
        <w:numPr>
          <w:ilvl w:val="1"/>
          <w:numId w:val="2"/>
        </w:numPr>
        <w:suppressAutoHyphens w:val="0"/>
        <w:ind w:left="992" w:hanging="567"/>
        <w:jc w:val="both"/>
        <w:rPr>
          <w:b/>
          <w:color w:val="000000"/>
          <w:szCs w:val="22"/>
          <w:shd w:val="clear" w:color="auto" w:fill="FFFFFF"/>
          <w:lang w:eastAsia="lv-LV"/>
        </w:rPr>
      </w:pPr>
      <w:r w:rsidRPr="00593001">
        <w:rPr>
          <w:szCs w:val="22"/>
          <w:lang w:eastAsia="lv-LV"/>
        </w:rPr>
        <w:t>vienlaikus ar pozitīva ekspertīzes atzinuma iesniegšanu Pasūtītājam, Izpildītājs iesniedz rakstveida apliecinājumu par to, ka ekspertīzes ietvaros ir veikta visu ekspertīzes darba uzdevumā noteikto pienākumu izpilde, apliecinājumā konkrēti tos norādot. Apliecinājumu var ietvert arī pozitīvajā ekspertīzes atzinumā;</w:t>
      </w:r>
    </w:p>
    <w:p w14:paraId="0D89962C" w14:textId="77777777" w:rsidR="00847B8B" w:rsidRPr="00C65E4C" w:rsidRDefault="00847B8B" w:rsidP="00847B8B">
      <w:pPr>
        <w:numPr>
          <w:ilvl w:val="1"/>
          <w:numId w:val="2"/>
        </w:numPr>
        <w:suppressAutoHyphens w:val="0"/>
        <w:ind w:left="992" w:hanging="567"/>
        <w:jc w:val="both"/>
        <w:rPr>
          <w:b/>
          <w:color w:val="000000"/>
          <w:szCs w:val="22"/>
          <w:shd w:val="clear" w:color="auto" w:fill="FFFFFF"/>
          <w:lang w:eastAsia="lv-LV"/>
        </w:rPr>
      </w:pPr>
      <w:r w:rsidRPr="007B03EB">
        <w:rPr>
          <w:szCs w:val="22"/>
        </w:rPr>
        <w:t xml:space="preserve">izpildītājam jāveic atkārtota attiecīgo būvprojekta daļu un/vai sadaļu ekspertīzi, ja būvprojektam pirms būvdarbu uzsākšanas vai būvdarbu laikā tiek mainīts būves arhitektoniskais risinājums vai būves, tās nesošo konstrukciju vai to daļu </w:t>
      </w:r>
      <w:r w:rsidRPr="007B03EB">
        <w:rPr>
          <w:szCs w:val="22"/>
        </w:rPr>
        <w:lastRenderedPageBreak/>
        <w:t>konstruktīvais risinājums attiecībā uz būves mehānisko stiprību, stabilitāti, ugun</w:t>
      </w:r>
      <w:r>
        <w:rPr>
          <w:szCs w:val="22"/>
        </w:rPr>
        <w:t>sdrošību vai lietošanas drošumu;</w:t>
      </w:r>
    </w:p>
    <w:p w14:paraId="3ED93DEE" w14:textId="56E9E3CD" w:rsidR="00D10745" w:rsidRPr="002B576A" w:rsidRDefault="00847B8B" w:rsidP="002B576A">
      <w:pPr>
        <w:numPr>
          <w:ilvl w:val="1"/>
          <w:numId w:val="2"/>
        </w:numPr>
        <w:suppressAutoHyphens w:val="0"/>
        <w:ind w:left="992" w:hanging="567"/>
        <w:jc w:val="both"/>
        <w:rPr>
          <w:b/>
          <w:color w:val="000000"/>
          <w:szCs w:val="22"/>
          <w:shd w:val="clear" w:color="auto" w:fill="FFFFFF"/>
          <w:lang w:eastAsia="lv-LV"/>
        </w:rPr>
      </w:pPr>
      <w:r w:rsidRPr="007B03EB">
        <w:rPr>
          <w:color w:val="000000"/>
          <w:szCs w:val="22"/>
          <w:shd w:val="clear" w:color="auto" w:fill="FFFFFF"/>
          <w:lang w:eastAsia="lv-LV"/>
        </w:rPr>
        <w:t>atbildīgais eksperts, kurš sniedzis pozitīvu atzinumu par būvprojektu, kopā ar būvprojekta atbildīgo projektētāju ir solidāri atbildīgs par būvprojekta risinājumu atbilstību normatīvo aktu un tehnisko noteikumu prasībām.</w:t>
      </w:r>
    </w:p>
    <w:p w14:paraId="2F79AEF7" w14:textId="77777777" w:rsidR="002B576A" w:rsidRPr="007B03EB" w:rsidRDefault="002B576A" w:rsidP="002B576A">
      <w:pPr>
        <w:numPr>
          <w:ilvl w:val="1"/>
          <w:numId w:val="2"/>
        </w:numPr>
        <w:suppressAutoHyphens w:val="0"/>
        <w:spacing w:after="120"/>
        <w:ind w:left="992" w:hanging="567"/>
        <w:jc w:val="both"/>
        <w:rPr>
          <w:b/>
          <w:color w:val="000000"/>
          <w:szCs w:val="22"/>
          <w:shd w:val="clear" w:color="auto" w:fill="FFFFFF"/>
          <w:lang w:eastAsia="lv-LV"/>
        </w:rPr>
      </w:pPr>
      <w:r>
        <w:rPr>
          <w:color w:val="000000"/>
          <w:szCs w:val="22"/>
          <w:shd w:val="clear" w:color="auto" w:fill="FFFFFF"/>
          <w:lang w:eastAsia="lv-LV"/>
        </w:rPr>
        <w:t>Darbus veikt saskaņā ar spēkā esošiem normatīviem aktiem.</w:t>
      </w:r>
    </w:p>
    <w:p w14:paraId="6E1B791F" w14:textId="77777777" w:rsidR="00847B8B" w:rsidRPr="00B533E7" w:rsidRDefault="00847B8B" w:rsidP="002B576A">
      <w:pPr>
        <w:numPr>
          <w:ilvl w:val="0"/>
          <w:numId w:val="2"/>
        </w:numPr>
        <w:suppressAutoHyphens w:val="0"/>
        <w:spacing w:line="276" w:lineRule="auto"/>
        <w:ind w:left="714" w:hanging="357"/>
        <w:jc w:val="both"/>
        <w:rPr>
          <w:b/>
          <w:color w:val="000000"/>
          <w:szCs w:val="22"/>
          <w:shd w:val="clear" w:color="auto" w:fill="FFFFFF"/>
          <w:lang w:eastAsia="lv-LV"/>
        </w:rPr>
      </w:pPr>
      <w:r w:rsidRPr="00B533E7">
        <w:rPr>
          <w:b/>
          <w:szCs w:val="22"/>
        </w:rPr>
        <w:t xml:space="preserve">Būvprojekta ekspertīzes </w:t>
      </w:r>
      <w:r>
        <w:rPr>
          <w:b/>
          <w:szCs w:val="22"/>
        </w:rPr>
        <w:t>atzinums</w:t>
      </w:r>
      <w:r w:rsidRPr="00B533E7">
        <w:rPr>
          <w:b/>
          <w:szCs w:val="22"/>
        </w:rPr>
        <w:t>:</w:t>
      </w:r>
    </w:p>
    <w:p w14:paraId="2F028E2D" w14:textId="4AAAECEB" w:rsidR="00847B8B" w:rsidRDefault="00847B8B" w:rsidP="00847B8B">
      <w:pPr>
        <w:suppressAutoHyphens w:val="0"/>
        <w:spacing w:line="276" w:lineRule="auto"/>
        <w:ind w:left="851" w:hanging="426"/>
        <w:jc w:val="both"/>
        <w:rPr>
          <w:color w:val="000000"/>
          <w:szCs w:val="22"/>
          <w:shd w:val="clear" w:color="auto" w:fill="FFFFFF"/>
          <w:lang w:eastAsia="lv-LV"/>
        </w:rPr>
      </w:pPr>
      <w:r>
        <w:rPr>
          <w:szCs w:val="22"/>
        </w:rPr>
        <w:t>4.1.</w:t>
      </w:r>
      <w:r>
        <w:rPr>
          <w:szCs w:val="22"/>
        </w:rPr>
        <w:tab/>
      </w:r>
      <w:r w:rsidRPr="007B03EB">
        <w:rPr>
          <w:szCs w:val="22"/>
        </w:rPr>
        <w:t xml:space="preserve">Būvprojekta ekspertīzes atzinums jāiesniedz </w:t>
      </w:r>
      <w:r w:rsidR="002B576A">
        <w:rPr>
          <w:szCs w:val="22"/>
        </w:rPr>
        <w:t>4</w:t>
      </w:r>
      <w:r w:rsidRPr="00B533E7">
        <w:rPr>
          <w:szCs w:val="22"/>
        </w:rPr>
        <w:t xml:space="preserve"> (</w:t>
      </w:r>
      <w:r w:rsidR="002B576A" w:rsidRPr="002B576A">
        <w:rPr>
          <w:i/>
          <w:szCs w:val="22"/>
        </w:rPr>
        <w:t>četros</w:t>
      </w:r>
      <w:r w:rsidRPr="00B533E7">
        <w:rPr>
          <w:szCs w:val="22"/>
        </w:rPr>
        <w:t>)</w:t>
      </w:r>
      <w:r w:rsidRPr="00247A56">
        <w:rPr>
          <w:szCs w:val="22"/>
        </w:rPr>
        <w:t xml:space="preserve"> eksemplāros</w:t>
      </w:r>
      <w:r w:rsidRPr="007B03EB">
        <w:rPr>
          <w:szCs w:val="22"/>
        </w:rPr>
        <w:t xml:space="preserve"> papīra formātā un 1 (</w:t>
      </w:r>
      <w:r w:rsidRPr="005E282C">
        <w:rPr>
          <w:i/>
          <w:szCs w:val="22"/>
        </w:rPr>
        <w:t>vienā</w:t>
      </w:r>
      <w:r w:rsidRPr="007B03EB">
        <w:rPr>
          <w:szCs w:val="22"/>
        </w:rPr>
        <w:t>) eksemplārā digitāla formātā (CD diskā), kas ar pieņemšanas – nodošanas aktu tiek nodots pasūtītājam.</w:t>
      </w:r>
      <w:r w:rsidRPr="007B03EB">
        <w:rPr>
          <w:color w:val="000000"/>
          <w:szCs w:val="22"/>
          <w:shd w:val="clear" w:color="auto" w:fill="FFFFFF"/>
          <w:lang w:eastAsia="lv-LV"/>
        </w:rPr>
        <w:t xml:space="preserve"> </w:t>
      </w:r>
    </w:p>
    <w:p w14:paraId="10152E31" w14:textId="77777777" w:rsidR="00847B8B" w:rsidRPr="007B03EB" w:rsidRDefault="00847B8B" w:rsidP="00847B8B">
      <w:pPr>
        <w:suppressAutoHyphens w:val="0"/>
        <w:spacing w:after="120" w:line="276" w:lineRule="auto"/>
        <w:ind w:left="851" w:hanging="425"/>
        <w:jc w:val="both"/>
        <w:rPr>
          <w:color w:val="000000"/>
          <w:szCs w:val="22"/>
          <w:shd w:val="clear" w:color="auto" w:fill="FFFFFF"/>
          <w:lang w:eastAsia="lv-LV"/>
        </w:rPr>
      </w:pPr>
      <w:r>
        <w:rPr>
          <w:color w:val="000000"/>
          <w:szCs w:val="22"/>
          <w:shd w:val="clear" w:color="auto" w:fill="FFFFFF"/>
          <w:lang w:eastAsia="lv-LV"/>
        </w:rPr>
        <w:t>4.2.</w:t>
      </w:r>
      <w:r>
        <w:rPr>
          <w:color w:val="000000"/>
          <w:szCs w:val="22"/>
          <w:shd w:val="clear" w:color="auto" w:fill="FFFFFF"/>
          <w:lang w:eastAsia="lv-LV"/>
        </w:rPr>
        <w:tab/>
      </w:r>
      <w:r w:rsidRPr="007B03EB">
        <w:rPr>
          <w:color w:val="000000"/>
          <w:szCs w:val="22"/>
          <w:shd w:val="clear" w:color="auto" w:fill="FFFFFF"/>
          <w:lang w:eastAsia="lv-LV"/>
        </w:rPr>
        <w:t>Konstrukciju aprēķinu kopsavilkumu iesniedz atsevišķā sējumā.</w:t>
      </w:r>
    </w:p>
    <w:bookmarkEnd w:id="0"/>
    <w:p w14:paraId="1799B91D" w14:textId="77777777" w:rsidR="00847B8B" w:rsidRPr="008F66DD" w:rsidRDefault="00847B8B" w:rsidP="00847B8B">
      <w:pPr>
        <w:pStyle w:val="BodyText"/>
        <w:numPr>
          <w:ilvl w:val="0"/>
          <w:numId w:val="1"/>
        </w:numPr>
        <w:jc w:val="right"/>
        <w:rPr>
          <w:b/>
        </w:rPr>
      </w:pPr>
    </w:p>
    <w:p w14:paraId="7F5F408F" w14:textId="77777777" w:rsidR="0015384A" w:rsidRDefault="0015384A"/>
    <w:sectPr w:rsidR="0015384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5B74" w14:textId="77777777" w:rsidR="00796061" w:rsidRDefault="00796061" w:rsidP="00D10745">
      <w:r>
        <w:separator/>
      </w:r>
    </w:p>
  </w:endnote>
  <w:endnote w:type="continuationSeparator" w:id="0">
    <w:p w14:paraId="35C47943" w14:textId="77777777" w:rsidR="00796061" w:rsidRDefault="00796061" w:rsidP="00D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48273"/>
      <w:docPartObj>
        <w:docPartGallery w:val="Page Numbers (Bottom of Page)"/>
        <w:docPartUnique/>
      </w:docPartObj>
    </w:sdtPr>
    <w:sdtEndPr>
      <w:rPr>
        <w:noProof/>
      </w:rPr>
    </w:sdtEndPr>
    <w:sdtContent>
      <w:p w14:paraId="6D871EF6" w14:textId="29192F6C" w:rsidR="00D10745" w:rsidRDefault="00D10745">
        <w:pPr>
          <w:pStyle w:val="Footer"/>
          <w:jc w:val="right"/>
        </w:pPr>
        <w:r>
          <w:fldChar w:fldCharType="begin"/>
        </w:r>
        <w:r>
          <w:instrText xml:space="preserve"> PAGE   \* MERGEFORMAT </w:instrText>
        </w:r>
        <w:r>
          <w:fldChar w:fldCharType="separate"/>
        </w:r>
        <w:r w:rsidR="00802048">
          <w:rPr>
            <w:noProof/>
          </w:rPr>
          <w:t>3</w:t>
        </w:r>
        <w:r>
          <w:rPr>
            <w:noProof/>
          </w:rPr>
          <w:fldChar w:fldCharType="end"/>
        </w:r>
      </w:p>
    </w:sdtContent>
  </w:sdt>
  <w:p w14:paraId="245075F4" w14:textId="77777777" w:rsidR="00D10745" w:rsidRDefault="00D1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0734" w14:textId="77777777" w:rsidR="00796061" w:rsidRDefault="00796061" w:rsidP="00D10745">
      <w:r>
        <w:separator/>
      </w:r>
    </w:p>
  </w:footnote>
  <w:footnote w:type="continuationSeparator" w:id="0">
    <w:p w14:paraId="6EA1EDA6" w14:textId="77777777" w:rsidR="00796061" w:rsidRDefault="00796061" w:rsidP="00D10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043FE7"/>
    <w:multiLevelType w:val="multilevel"/>
    <w:tmpl w:val="F1980E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8B"/>
    <w:rsid w:val="00075B10"/>
    <w:rsid w:val="000B25DA"/>
    <w:rsid w:val="0015384A"/>
    <w:rsid w:val="002B1335"/>
    <w:rsid w:val="002B576A"/>
    <w:rsid w:val="005B0199"/>
    <w:rsid w:val="00752F04"/>
    <w:rsid w:val="00796061"/>
    <w:rsid w:val="00802048"/>
    <w:rsid w:val="00847B8B"/>
    <w:rsid w:val="00CF3D82"/>
    <w:rsid w:val="00D10745"/>
    <w:rsid w:val="00E53134"/>
    <w:rsid w:val="00FB5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A01E"/>
  <w15:chartTrackingRefBased/>
  <w15:docId w15:val="{7FB7E4DD-B71F-4C4A-93F8-21E7E8B8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8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847B8B"/>
    <w:pPr>
      <w:keepNext/>
      <w:numPr>
        <w:numId w:val="1"/>
      </w:numPr>
      <w:ind w:left="1080"/>
      <w:outlineLvl w:val="0"/>
    </w:pPr>
    <w:rPr>
      <w:b/>
      <w:bCs/>
      <w:sz w:val="22"/>
      <w:lang w:val="x-none"/>
    </w:rPr>
  </w:style>
  <w:style w:type="paragraph" w:styleId="Heading3">
    <w:name w:val="heading 3"/>
    <w:aliases w:val="Char1"/>
    <w:basedOn w:val="Normal"/>
    <w:next w:val="Normal"/>
    <w:link w:val="Heading3Char"/>
    <w:qFormat/>
    <w:rsid w:val="00847B8B"/>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47B8B"/>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847B8B"/>
    <w:rPr>
      <w:rFonts w:ascii="Times New Roman" w:eastAsia="Times New Roman" w:hAnsi="Times New Roman" w:cs="Times New Roman"/>
      <w:b/>
      <w:bCs/>
      <w:szCs w:val="24"/>
      <w:lang w:val="x-none" w:eastAsia="ar-SA"/>
    </w:rPr>
  </w:style>
  <w:style w:type="character" w:customStyle="1" w:styleId="Heading3Char">
    <w:name w:val="Heading 3 Char"/>
    <w:aliases w:val="Char1 Char"/>
    <w:basedOn w:val="DefaultParagraphFont"/>
    <w:link w:val="Heading3"/>
    <w:rsid w:val="00847B8B"/>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847B8B"/>
    <w:rPr>
      <w:rFonts w:ascii="Times New Roman" w:eastAsia="Times New Roman" w:hAnsi="Times New Roman" w:cs="Times New Roman"/>
      <w:b/>
      <w:bCs/>
      <w:lang w:eastAsia="ar-SA"/>
    </w:rPr>
  </w:style>
  <w:style w:type="paragraph" w:styleId="BodyText">
    <w:name w:val="Body Text"/>
    <w:aliases w:val="Pamatteksts Rakstz. Rakstz."/>
    <w:basedOn w:val="Normal"/>
    <w:link w:val="BodyTextChar"/>
    <w:rsid w:val="00847B8B"/>
    <w:pPr>
      <w:jc w:val="center"/>
    </w:pPr>
    <w:rPr>
      <w:sz w:val="20"/>
      <w:szCs w:val="20"/>
    </w:rPr>
  </w:style>
  <w:style w:type="character" w:customStyle="1" w:styleId="BodyTextChar">
    <w:name w:val="Body Text Char"/>
    <w:aliases w:val="Pamatteksts Rakstz. Rakstz. Char"/>
    <w:basedOn w:val="DefaultParagraphFont"/>
    <w:link w:val="BodyText"/>
    <w:rsid w:val="00847B8B"/>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5B0199"/>
    <w:rPr>
      <w:sz w:val="16"/>
      <w:szCs w:val="16"/>
    </w:rPr>
  </w:style>
  <w:style w:type="paragraph" w:styleId="CommentText">
    <w:name w:val="annotation text"/>
    <w:basedOn w:val="Normal"/>
    <w:link w:val="CommentTextChar"/>
    <w:uiPriority w:val="99"/>
    <w:semiHidden/>
    <w:unhideWhenUsed/>
    <w:rsid w:val="005B0199"/>
    <w:rPr>
      <w:sz w:val="20"/>
      <w:szCs w:val="20"/>
    </w:rPr>
  </w:style>
  <w:style w:type="character" w:customStyle="1" w:styleId="CommentTextChar">
    <w:name w:val="Comment Text Char"/>
    <w:basedOn w:val="DefaultParagraphFont"/>
    <w:link w:val="CommentText"/>
    <w:uiPriority w:val="99"/>
    <w:semiHidden/>
    <w:rsid w:val="005B019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B0199"/>
    <w:rPr>
      <w:b/>
      <w:bCs/>
    </w:rPr>
  </w:style>
  <w:style w:type="character" w:customStyle="1" w:styleId="CommentSubjectChar">
    <w:name w:val="Comment Subject Char"/>
    <w:basedOn w:val="CommentTextChar"/>
    <w:link w:val="CommentSubject"/>
    <w:uiPriority w:val="99"/>
    <w:semiHidden/>
    <w:rsid w:val="005B0199"/>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B0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99"/>
    <w:rPr>
      <w:rFonts w:ascii="Segoe UI" w:eastAsia="Times New Roman" w:hAnsi="Segoe UI" w:cs="Segoe UI"/>
      <w:sz w:val="18"/>
      <w:szCs w:val="18"/>
      <w:lang w:eastAsia="ar-SA"/>
    </w:rPr>
  </w:style>
  <w:style w:type="paragraph" w:styleId="ListParagraph">
    <w:name w:val="List Paragraph"/>
    <w:basedOn w:val="Normal"/>
    <w:uiPriority w:val="34"/>
    <w:qFormat/>
    <w:rsid w:val="005B0199"/>
    <w:pPr>
      <w:ind w:left="720"/>
      <w:contextualSpacing/>
    </w:pPr>
  </w:style>
  <w:style w:type="paragraph" w:styleId="Header">
    <w:name w:val="header"/>
    <w:basedOn w:val="Normal"/>
    <w:link w:val="HeaderChar"/>
    <w:uiPriority w:val="99"/>
    <w:unhideWhenUsed/>
    <w:rsid w:val="00D10745"/>
    <w:pPr>
      <w:tabs>
        <w:tab w:val="center" w:pos="4320"/>
        <w:tab w:val="right" w:pos="8640"/>
      </w:tabs>
    </w:pPr>
  </w:style>
  <w:style w:type="character" w:customStyle="1" w:styleId="HeaderChar">
    <w:name w:val="Header Char"/>
    <w:basedOn w:val="DefaultParagraphFont"/>
    <w:link w:val="Header"/>
    <w:uiPriority w:val="99"/>
    <w:rsid w:val="00D1074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10745"/>
    <w:pPr>
      <w:tabs>
        <w:tab w:val="center" w:pos="4320"/>
        <w:tab w:val="right" w:pos="8640"/>
      </w:tabs>
    </w:pPr>
  </w:style>
  <w:style w:type="character" w:customStyle="1" w:styleId="FooterChar">
    <w:name w:val="Footer Char"/>
    <w:basedOn w:val="DefaultParagraphFont"/>
    <w:link w:val="Footer"/>
    <w:uiPriority w:val="99"/>
    <w:rsid w:val="00D107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7549-D194-477F-9ADC-86A9044F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3348</Words>
  <Characters>1909</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Putniņa</dc:creator>
  <cp:keywords/>
  <dc:description/>
  <cp:lastModifiedBy>Jevgēnijs Gramsts</cp:lastModifiedBy>
  <cp:revision>2</cp:revision>
  <dcterms:created xsi:type="dcterms:W3CDTF">2018-04-19T13:58:00Z</dcterms:created>
  <dcterms:modified xsi:type="dcterms:W3CDTF">2018-04-19T13:58:00Z</dcterms:modified>
</cp:coreProperties>
</file>