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BA060C" w:rsidRPr="00BA060C" w:rsidRDefault="00BA060C" w:rsidP="00BA060C">
            <w:pPr>
              <w:jc w:val="center"/>
              <w:rPr>
                <w:sz w:val="22"/>
                <w:szCs w:val="22"/>
                <w:lang w:val="lv-LV"/>
              </w:rPr>
            </w:pPr>
            <w:r w:rsidRPr="00BA060C">
              <w:rPr>
                <w:rFonts w:eastAsia="Gulim"/>
                <w:sz w:val="22"/>
                <w:szCs w:val="22"/>
                <w:lang w:val="lv-LV"/>
              </w:rPr>
              <w:t>Atklāts konkurss</w:t>
            </w:r>
          </w:p>
          <w:p w:rsidR="00BA060C" w:rsidRPr="00BA060C" w:rsidRDefault="00BA060C" w:rsidP="00BA060C">
            <w:pPr>
              <w:tabs>
                <w:tab w:val="center" w:pos="4977"/>
                <w:tab w:val="left" w:pos="7725"/>
              </w:tabs>
              <w:jc w:val="center"/>
              <w:rPr>
                <w:sz w:val="22"/>
                <w:szCs w:val="22"/>
                <w:lang w:val="lv-LV"/>
              </w:rPr>
            </w:pPr>
            <w:r w:rsidRPr="00BA060C">
              <w:rPr>
                <w:b/>
                <w:bCs/>
                <w:iCs/>
                <w:sz w:val="22"/>
                <w:szCs w:val="22"/>
                <w:lang w:val="lv-LV"/>
              </w:rPr>
              <w:t>“Zinātniskās aparatūras un aprīkojuma iegāde RTU Materiālzinātnes un lietišķās ķīmijas fakultātei: termogravimetrs ar gāzu hromatogrāfu ar masselektīvo detektoru un paraugu ievadīšanas sistēmām”</w:t>
            </w:r>
          </w:p>
          <w:p w:rsidR="00BA060C" w:rsidRPr="00BA060C" w:rsidRDefault="00BA060C" w:rsidP="00BA060C">
            <w:pPr>
              <w:tabs>
                <w:tab w:val="center" w:pos="4977"/>
                <w:tab w:val="left" w:pos="7725"/>
              </w:tabs>
              <w:jc w:val="center"/>
              <w:rPr>
                <w:sz w:val="22"/>
                <w:szCs w:val="22"/>
                <w:lang w:val="lv-LV"/>
              </w:rPr>
            </w:pPr>
            <w:r w:rsidRPr="00BA060C">
              <w:rPr>
                <w:sz w:val="22"/>
                <w:szCs w:val="22"/>
                <w:lang w:val="lv-LV"/>
              </w:rPr>
              <w:t>ID Nr.: RTU-2018/16</w:t>
            </w:r>
          </w:p>
          <w:p w:rsidR="00BA060C" w:rsidRPr="00BA060C" w:rsidRDefault="00BA060C" w:rsidP="00BA060C">
            <w:pPr>
              <w:jc w:val="center"/>
              <w:rPr>
                <w:b/>
                <w:sz w:val="22"/>
                <w:szCs w:val="22"/>
                <w:lang w:val="lv-LV"/>
              </w:rPr>
            </w:pPr>
          </w:p>
          <w:p w:rsidR="00BA060C" w:rsidRPr="00BA060C" w:rsidRDefault="00BA060C" w:rsidP="00BA060C">
            <w:pPr>
              <w:jc w:val="center"/>
              <w:rPr>
                <w:b/>
                <w:sz w:val="22"/>
                <w:szCs w:val="22"/>
                <w:lang w:val="lv-LV"/>
              </w:rPr>
            </w:pPr>
            <w:r w:rsidRPr="00BA060C">
              <w:rPr>
                <w:b/>
                <w:sz w:val="22"/>
                <w:szCs w:val="22"/>
                <w:lang w:val="lv-LV"/>
              </w:rPr>
              <w:t>Komisijas sēdes protokols Nr.</w:t>
            </w:r>
            <w:r>
              <w:rPr>
                <w:b/>
                <w:sz w:val="22"/>
                <w:szCs w:val="22"/>
                <w:lang w:val="lv-LV"/>
              </w:rPr>
              <w:t>2</w:t>
            </w:r>
          </w:p>
          <w:p w:rsidR="00BA060C" w:rsidRPr="00BA060C" w:rsidRDefault="00BA060C" w:rsidP="00BA060C">
            <w:pPr>
              <w:rPr>
                <w:lang w:val="lv-LV"/>
              </w:rPr>
            </w:pPr>
          </w:p>
          <w:p w:rsidR="00BA060C" w:rsidRPr="00BA060C" w:rsidRDefault="00BA060C" w:rsidP="00BA060C">
            <w:pPr>
              <w:rPr>
                <w:lang w:val="lv-LV"/>
              </w:rPr>
            </w:pPr>
          </w:p>
          <w:p w:rsidR="00BA060C" w:rsidRPr="00BA060C" w:rsidRDefault="00BA060C" w:rsidP="00BA060C">
            <w:pPr>
              <w:rPr>
                <w:b/>
                <w:sz w:val="22"/>
                <w:szCs w:val="22"/>
                <w:lang w:val="lv-LV"/>
              </w:rPr>
            </w:pPr>
            <w:r w:rsidRPr="00BA060C">
              <w:rPr>
                <w:sz w:val="22"/>
                <w:szCs w:val="22"/>
                <w:lang w:val="lv-LV"/>
              </w:rPr>
              <w:t>Rīgā, Kaļķu ielā 1 – 322.telpā, plkst. 1</w:t>
            </w:r>
            <w:r>
              <w:rPr>
                <w:sz w:val="22"/>
                <w:szCs w:val="22"/>
                <w:lang w:val="lv-LV"/>
              </w:rPr>
              <w:t>6</w:t>
            </w:r>
            <w:r w:rsidRPr="00BA060C">
              <w:rPr>
                <w:sz w:val="22"/>
                <w:szCs w:val="22"/>
                <w:lang w:val="lv-LV"/>
              </w:rPr>
              <w:t xml:space="preserve">:00                                                                           </w:t>
            </w:r>
            <w:r w:rsidR="00AB0DB6">
              <w:rPr>
                <w:sz w:val="22"/>
                <w:szCs w:val="22"/>
                <w:lang w:val="lv-LV"/>
              </w:rPr>
              <w:t xml:space="preserve">                 </w:t>
            </w:r>
            <w:bookmarkStart w:id="0" w:name="_GoBack"/>
            <w:bookmarkEnd w:id="0"/>
            <w:r w:rsidRPr="00BA060C">
              <w:rPr>
                <w:sz w:val="22"/>
                <w:szCs w:val="22"/>
                <w:lang w:val="lv-LV"/>
              </w:rPr>
              <w:t xml:space="preserve"> </w:t>
            </w:r>
            <w:r>
              <w:rPr>
                <w:sz w:val="22"/>
                <w:szCs w:val="22"/>
                <w:lang w:val="lv-LV"/>
              </w:rPr>
              <w:t>20</w:t>
            </w:r>
            <w:r w:rsidRPr="00BA060C">
              <w:rPr>
                <w:sz w:val="22"/>
                <w:szCs w:val="22"/>
                <w:lang w:val="lv-LV"/>
              </w:rPr>
              <w:t>.</w:t>
            </w:r>
            <w:r>
              <w:rPr>
                <w:sz w:val="22"/>
                <w:szCs w:val="22"/>
                <w:lang w:val="lv-LV"/>
              </w:rPr>
              <w:t>03</w:t>
            </w:r>
            <w:r w:rsidRPr="00BA060C">
              <w:rPr>
                <w:sz w:val="22"/>
                <w:szCs w:val="22"/>
                <w:lang w:val="lv-LV"/>
              </w:rPr>
              <w:t>.2018.</w:t>
            </w:r>
          </w:p>
          <w:p w:rsidR="00BA060C" w:rsidRPr="00BA060C" w:rsidRDefault="00BA060C" w:rsidP="00BA060C">
            <w:pPr>
              <w:rPr>
                <w:b/>
                <w:sz w:val="22"/>
                <w:szCs w:val="22"/>
                <w:lang w:val="lv-LV"/>
              </w:rPr>
            </w:pPr>
          </w:p>
          <w:p w:rsidR="00BA060C" w:rsidRPr="00BA060C" w:rsidRDefault="00BA060C" w:rsidP="00BA060C">
            <w:pPr>
              <w:jc w:val="both"/>
              <w:rPr>
                <w:b/>
                <w:bCs/>
                <w:color w:val="000000"/>
                <w:sz w:val="22"/>
                <w:szCs w:val="22"/>
                <w:lang w:val="lv-LV"/>
              </w:rPr>
            </w:pPr>
            <w:r w:rsidRPr="00BA060C">
              <w:rPr>
                <w:sz w:val="22"/>
                <w:szCs w:val="22"/>
                <w:lang w:val="lv-LV"/>
              </w:rPr>
              <w:t>Sēdi vada un protokolē: J. Gramsts</w:t>
            </w:r>
          </w:p>
          <w:p w:rsidR="00BA060C" w:rsidRPr="00BA060C" w:rsidRDefault="00BA060C" w:rsidP="00BA060C">
            <w:pPr>
              <w:jc w:val="both"/>
              <w:rPr>
                <w:b/>
                <w:bCs/>
                <w:color w:val="000000"/>
                <w:sz w:val="22"/>
                <w:szCs w:val="22"/>
                <w:lang w:val="lv-LV"/>
              </w:rPr>
            </w:pPr>
          </w:p>
          <w:p w:rsidR="00BA060C" w:rsidRPr="00BA060C" w:rsidRDefault="00BA060C" w:rsidP="00BA060C">
            <w:pPr>
              <w:jc w:val="both"/>
              <w:rPr>
                <w:sz w:val="22"/>
                <w:szCs w:val="22"/>
                <w:lang w:val="lv-LV"/>
              </w:rPr>
            </w:pPr>
            <w:r w:rsidRPr="00BA060C">
              <w:rPr>
                <w:sz w:val="22"/>
                <w:szCs w:val="22"/>
                <w:lang w:val="lv-LV"/>
              </w:rPr>
              <w:t xml:space="preserve">Komisija izveidota ar Rīgas Tehniskās universitātes finanšu prorektora 29.01.2018. </w:t>
            </w:r>
            <w:r w:rsidRPr="00BA060C">
              <w:rPr>
                <w:color w:val="000000"/>
                <w:spacing w:val="-4"/>
                <w:sz w:val="22"/>
                <w:szCs w:val="22"/>
                <w:lang w:val="lv-LV"/>
              </w:rPr>
              <w:t xml:space="preserve">rīkojumu Nr.03000-1.2/13. </w:t>
            </w:r>
          </w:p>
          <w:p w:rsidR="00BA060C" w:rsidRPr="00BA060C" w:rsidRDefault="00BA060C" w:rsidP="00BA060C">
            <w:pPr>
              <w:jc w:val="both"/>
              <w:rPr>
                <w:sz w:val="22"/>
                <w:szCs w:val="22"/>
                <w:lang w:val="lv-LV"/>
              </w:rPr>
            </w:pPr>
          </w:p>
          <w:p w:rsidR="00BA060C" w:rsidRPr="00BA060C" w:rsidRDefault="00BA060C" w:rsidP="00BA060C">
            <w:pPr>
              <w:jc w:val="both"/>
              <w:rPr>
                <w:b/>
                <w:bCs/>
                <w:color w:val="000000"/>
                <w:sz w:val="22"/>
                <w:szCs w:val="22"/>
                <w:lang w:val="lv-LV"/>
              </w:rPr>
            </w:pPr>
            <w:r w:rsidRPr="00BA060C">
              <w:rPr>
                <w:b/>
                <w:sz w:val="22"/>
                <w:szCs w:val="22"/>
                <w:lang w:val="lv-LV"/>
              </w:rPr>
              <w:t>Komisijas priekšsēdētājs:</w:t>
            </w:r>
          </w:p>
          <w:p w:rsidR="00BA060C" w:rsidRPr="00BA060C" w:rsidRDefault="00BA060C" w:rsidP="00BA060C">
            <w:pPr>
              <w:jc w:val="both"/>
              <w:rPr>
                <w:color w:val="000000"/>
                <w:sz w:val="22"/>
                <w:szCs w:val="22"/>
                <w:lang w:val="lv-LV"/>
              </w:rPr>
            </w:pPr>
            <w:r w:rsidRPr="00BA060C">
              <w:rPr>
                <w:color w:val="000000"/>
                <w:sz w:val="22"/>
                <w:szCs w:val="22"/>
                <w:lang w:val="lv-LV"/>
              </w:rPr>
              <w:t xml:space="preserve">Jevgēnijs Gramsts </w:t>
            </w:r>
            <w:r w:rsidRPr="00BA060C">
              <w:rPr>
                <w:color w:val="000000"/>
                <w:sz w:val="22"/>
                <w:szCs w:val="22"/>
                <w:lang w:val="lv-LV"/>
              </w:rPr>
              <w:tab/>
            </w:r>
            <w:r>
              <w:rPr>
                <w:color w:val="000000"/>
                <w:sz w:val="22"/>
                <w:szCs w:val="22"/>
                <w:lang w:val="lv-LV"/>
              </w:rPr>
              <w:t xml:space="preserve">            </w:t>
            </w:r>
            <w:r w:rsidRPr="00BA060C">
              <w:rPr>
                <w:color w:val="000000"/>
                <w:sz w:val="22"/>
                <w:szCs w:val="22"/>
                <w:lang w:val="lv-LV"/>
              </w:rPr>
              <w:t>Juridiskā departamenta Iepirkumu nodaļas vecākais iepirkumu speciālists</w:t>
            </w:r>
          </w:p>
          <w:p w:rsidR="00BA060C" w:rsidRPr="00BA060C" w:rsidRDefault="00BA060C" w:rsidP="00BA060C">
            <w:pPr>
              <w:jc w:val="both"/>
              <w:rPr>
                <w:b/>
                <w:sz w:val="22"/>
                <w:szCs w:val="22"/>
                <w:lang w:val="lv-LV"/>
              </w:rPr>
            </w:pPr>
          </w:p>
          <w:p w:rsidR="00BA060C" w:rsidRPr="00BA060C" w:rsidRDefault="00BA060C" w:rsidP="00BA060C">
            <w:pPr>
              <w:jc w:val="both"/>
              <w:rPr>
                <w:b/>
                <w:sz w:val="22"/>
                <w:szCs w:val="22"/>
                <w:lang w:val="lv-LV"/>
              </w:rPr>
            </w:pPr>
            <w:r w:rsidRPr="00BA060C">
              <w:rPr>
                <w:b/>
                <w:sz w:val="22"/>
                <w:szCs w:val="22"/>
                <w:lang w:val="lv-LV"/>
              </w:rPr>
              <w:t>Komisijas locekļi: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6369"/>
            </w:tblGrid>
            <w:tr w:rsidR="00BA060C" w:rsidRPr="00BA060C" w:rsidTr="00174AED">
              <w:tc>
                <w:tcPr>
                  <w:tcW w:w="2692" w:type="dxa"/>
                </w:tcPr>
                <w:p w:rsidR="00BA060C" w:rsidRPr="00BA060C" w:rsidRDefault="00BA060C" w:rsidP="00BA060C">
                  <w:pPr>
                    <w:jc w:val="both"/>
                    <w:rPr>
                      <w:b/>
                      <w:bCs/>
                      <w:sz w:val="22"/>
                      <w:szCs w:val="22"/>
                    </w:rPr>
                  </w:pPr>
                  <w:r w:rsidRPr="00BA060C">
                    <w:rPr>
                      <w:bCs/>
                      <w:sz w:val="22"/>
                      <w:szCs w:val="22"/>
                    </w:rPr>
                    <w:t>Mārcis Dzenis</w:t>
                  </w:r>
                </w:p>
              </w:tc>
              <w:tc>
                <w:tcPr>
                  <w:tcW w:w="6369" w:type="dxa"/>
                </w:tcPr>
                <w:p w:rsidR="00BA060C" w:rsidRPr="00BA060C" w:rsidRDefault="00BA060C" w:rsidP="00BA060C">
                  <w:pPr>
                    <w:spacing w:line="276" w:lineRule="auto"/>
                    <w:jc w:val="both"/>
                    <w:rPr>
                      <w:b/>
                      <w:sz w:val="22"/>
                      <w:szCs w:val="22"/>
                    </w:rPr>
                  </w:pPr>
                  <w:r w:rsidRPr="00BA060C">
                    <w:rPr>
                      <w:sz w:val="22"/>
                      <w:szCs w:val="22"/>
                    </w:rPr>
                    <w:t xml:space="preserve">MLĶF Polimēru materiālu tehnoloģijas katedras </w:t>
                  </w:r>
                </w:p>
                <w:p w:rsidR="00BA060C" w:rsidRPr="00BA060C" w:rsidRDefault="00BA060C" w:rsidP="00BA060C">
                  <w:pPr>
                    <w:spacing w:line="276" w:lineRule="auto"/>
                    <w:jc w:val="both"/>
                    <w:rPr>
                      <w:b/>
                      <w:sz w:val="22"/>
                      <w:szCs w:val="22"/>
                    </w:rPr>
                  </w:pPr>
                  <w:r w:rsidRPr="00BA060C">
                    <w:rPr>
                      <w:sz w:val="22"/>
                      <w:szCs w:val="22"/>
                    </w:rPr>
                    <w:t>asociētais profesors</w:t>
                  </w:r>
                </w:p>
              </w:tc>
            </w:tr>
            <w:tr w:rsidR="00BA060C" w:rsidRPr="00BA060C" w:rsidTr="00174AED">
              <w:tc>
                <w:tcPr>
                  <w:tcW w:w="2692" w:type="dxa"/>
                </w:tcPr>
                <w:p w:rsidR="00BA060C" w:rsidRPr="00BA060C" w:rsidRDefault="00BA060C" w:rsidP="00BA060C">
                  <w:pPr>
                    <w:tabs>
                      <w:tab w:val="left" w:pos="2694"/>
                    </w:tabs>
                    <w:rPr>
                      <w:bCs/>
                      <w:sz w:val="22"/>
                      <w:szCs w:val="22"/>
                      <w:lang w:val="lv-LV"/>
                    </w:rPr>
                  </w:pPr>
                  <w:r w:rsidRPr="00BA060C">
                    <w:rPr>
                      <w:bCs/>
                      <w:sz w:val="22"/>
                      <w:szCs w:val="22"/>
                      <w:lang w:val="lv-LV"/>
                    </w:rPr>
                    <w:t>Zane Circāne</w:t>
                  </w:r>
                </w:p>
              </w:tc>
              <w:tc>
                <w:tcPr>
                  <w:tcW w:w="6369" w:type="dxa"/>
                </w:tcPr>
                <w:p w:rsidR="00BA060C" w:rsidRPr="00BA060C" w:rsidRDefault="00BA060C" w:rsidP="00BA060C">
                  <w:pPr>
                    <w:tabs>
                      <w:tab w:val="left" w:pos="2694"/>
                    </w:tabs>
                    <w:rPr>
                      <w:sz w:val="22"/>
                      <w:szCs w:val="22"/>
                      <w:lang w:val="lv-LV"/>
                    </w:rPr>
                  </w:pPr>
                  <w:r w:rsidRPr="00BA060C">
                    <w:rPr>
                      <w:bCs/>
                      <w:sz w:val="22"/>
                      <w:szCs w:val="22"/>
                      <w:lang w:val="lv-LV"/>
                    </w:rPr>
                    <w:t>Attīstības prorektora dienesta vecākais eksperts</w:t>
                  </w:r>
                </w:p>
              </w:tc>
            </w:tr>
          </w:tbl>
          <w:p w:rsidR="005C24D5" w:rsidRPr="005400EE" w:rsidRDefault="005C24D5" w:rsidP="005C24D5">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BA060C">
              <w:rPr>
                <w:sz w:val="22"/>
                <w:szCs w:val="22"/>
                <w:lang w:val="lv-LV"/>
              </w:rPr>
              <w:t>15</w:t>
            </w:r>
            <w:r>
              <w:rPr>
                <w:sz w:val="22"/>
                <w:szCs w:val="22"/>
                <w:lang w:val="lv-LV"/>
              </w:rPr>
              <w:t>.0</w:t>
            </w:r>
            <w:r w:rsidR="00592E4C">
              <w:rPr>
                <w:sz w:val="22"/>
                <w:szCs w:val="22"/>
                <w:lang w:val="lv-LV"/>
              </w:rPr>
              <w:t>3</w:t>
            </w:r>
            <w:r>
              <w:rPr>
                <w:sz w:val="22"/>
                <w:szCs w:val="22"/>
                <w:lang w:val="lv-LV"/>
              </w:rPr>
              <w:t>.2018.</w:t>
            </w:r>
            <w:r w:rsidR="005C24D5">
              <w:rPr>
                <w:sz w:val="22"/>
                <w:szCs w:val="22"/>
                <w:lang w:val="lv-LV"/>
              </w:rPr>
              <w:t xml:space="preserve"> </w:t>
            </w:r>
            <w:r w:rsidR="00BA060C">
              <w:rPr>
                <w:sz w:val="22"/>
                <w:szCs w:val="22"/>
                <w:lang w:val="lv-LV"/>
              </w:rPr>
              <w:t xml:space="preserve">Elektronisko iepirkumu sistēmā ir </w:t>
            </w:r>
            <w:r>
              <w:rPr>
                <w:sz w:val="22"/>
                <w:szCs w:val="22"/>
                <w:lang w:val="lv-LV"/>
              </w:rPr>
              <w:t>saņemti</w:t>
            </w:r>
            <w:r w:rsidRPr="00F4006D">
              <w:rPr>
                <w:sz w:val="22"/>
                <w:szCs w:val="22"/>
                <w:lang w:val="lv-LV"/>
              </w:rPr>
              <w:t xml:space="preserve"> </w:t>
            </w:r>
            <w:r w:rsidR="005C24D5">
              <w:rPr>
                <w:sz w:val="22"/>
                <w:szCs w:val="22"/>
                <w:lang w:val="lv-LV"/>
              </w:rPr>
              <w:t xml:space="preserve">jautājumi no </w:t>
            </w:r>
            <w:r w:rsidR="0092299F">
              <w:rPr>
                <w:sz w:val="22"/>
                <w:szCs w:val="22"/>
                <w:lang w:val="lv-LV"/>
              </w:rPr>
              <w:t xml:space="preserve">potenciālā </w:t>
            </w:r>
            <w:r w:rsidR="005C24D5">
              <w:rPr>
                <w:sz w:val="22"/>
                <w:szCs w:val="22"/>
                <w:lang w:val="lv-LV"/>
              </w:rPr>
              <w:t>piegādātāj</w:t>
            </w:r>
            <w:r w:rsidR="0092299F">
              <w:rPr>
                <w:sz w:val="22"/>
                <w:szCs w:val="22"/>
                <w:lang w:val="lv-LV"/>
              </w:rPr>
              <w:t>a</w:t>
            </w:r>
            <w:r>
              <w:rPr>
                <w:sz w:val="22"/>
                <w:szCs w:val="22"/>
                <w:lang w:val="lv-LV"/>
              </w:rPr>
              <w:t xml:space="preserve"> par konkursa nolikumu.</w:t>
            </w:r>
          </w:p>
          <w:p w:rsidR="00592E4C" w:rsidRDefault="00592E4C" w:rsidP="00592E4C">
            <w:pPr>
              <w:pStyle w:val="ListParagraph"/>
              <w:ind w:left="405"/>
              <w:jc w:val="both"/>
              <w:rPr>
                <w:sz w:val="22"/>
                <w:szCs w:val="22"/>
                <w:lang w:val="lv-LV"/>
              </w:rPr>
            </w:pP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BA060C">
              <w:rPr>
                <w:b/>
                <w:sz w:val="22"/>
                <w:szCs w:val="22"/>
                <w:lang w:val="lv-LV"/>
              </w:rPr>
              <w:t>1</w:t>
            </w:r>
            <w:r>
              <w:rPr>
                <w:sz w:val="22"/>
                <w:szCs w:val="22"/>
                <w:lang w:val="lv-LV"/>
              </w:rPr>
              <w:t>:</w:t>
            </w:r>
          </w:p>
          <w:p w:rsidR="005C24D5" w:rsidRDefault="005C24D5"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BA060C" w:rsidRPr="00BA060C" w:rsidRDefault="00BA060C" w:rsidP="00BA060C">
            <w:pPr>
              <w:spacing w:line="276" w:lineRule="auto"/>
              <w:jc w:val="both"/>
              <w:rPr>
                <w:sz w:val="22"/>
                <w:szCs w:val="22"/>
                <w:lang w:val="lv-LV"/>
              </w:rPr>
            </w:pPr>
            <w:r w:rsidRPr="00BA060C">
              <w:rPr>
                <w:sz w:val="22"/>
                <w:szCs w:val="22"/>
                <w:lang w:val="lv-LV"/>
              </w:rPr>
              <w:t xml:space="preserve">Vai par ekvivalentu Preci (Termogravimetrs ar gāzu hromatogrāfu (GH) ar masselektīvo detektoru un paraugu ievadīšanas sistēmām) iepirkuma Nr. </w:t>
            </w:r>
            <w:r w:rsidRPr="00BA060C">
              <w:rPr>
                <w:bCs/>
                <w:sz w:val="22"/>
                <w:szCs w:val="22"/>
                <w:lang w:val="lv-LV"/>
              </w:rPr>
              <w:t xml:space="preserve">ID Nr. RTU-2018/16 </w:t>
            </w:r>
            <w:r w:rsidRPr="00BA060C">
              <w:rPr>
                <w:sz w:val="22"/>
                <w:szCs w:val="22"/>
                <w:lang w:val="lv-LV"/>
              </w:rPr>
              <w:t>nolikuma izpratnē atzīs termogravimetru ar vertikālu krāsns tipu, ja tas atbilst tehniskās specifikācijas prasībām termogravimetrijas (TGA), diferenciāli skenējošās kalorimetrijas (DSC) un diferenciālās termiskās analīzes (DTA) parametru ziņā?</w:t>
            </w:r>
          </w:p>
          <w:p w:rsidR="00BA060C" w:rsidRPr="00BA060C" w:rsidRDefault="00BA060C" w:rsidP="00BA060C">
            <w:pPr>
              <w:spacing w:line="276" w:lineRule="auto"/>
              <w:jc w:val="both"/>
              <w:rPr>
                <w:sz w:val="22"/>
                <w:szCs w:val="22"/>
                <w:lang w:val="lv-LV"/>
              </w:rPr>
            </w:pPr>
            <w:r w:rsidRPr="00BA060C">
              <w:rPr>
                <w:sz w:val="22"/>
                <w:szCs w:val="22"/>
                <w:lang w:val="lv-LV"/>
              </w:rPr>
              <w:t>JAUTĀJUMA PAMATOJUMS</w:t>
            </w:r>
          </w:p>
          <w:p w:rsidR="00BA060C" w:rsidRPr="00BA060C" w:rsidRDefault="00BA060C" w:rsidP="00BA060C">
            <w:pPr>
              <w:spacing w:line="276" w:lineRule="auto"/>
              <w:jc w:val="both"/>
              <w:rPr>
                <w:sz w:val="22"/>
                <w:szCs w:val="22"/>
                <w:lang w:val="lv-LV"/>
              </w:rPr>
            </w:pPr>
            <w:r w:rsidRPr="00BA060C">
              <w:rPr>
                <w:sz w:val="22"/>
                <w:szCs w:val="22"/>
                <w:lang w:val="lv-LV"/>
              </w:rPr>
              <w:t>Pēc mūsu rīcībā esošām ziņām, pasaulē pārsvarā ražo TGA/DSC/DTA iekārtas ar vertikālām krāsnīm (1.tabula):</w:t>
            </w:r>
          </w:p>
          <w:tbl>
            <w:tblPr>
              <w:tblStyle w:val="TableGrid"/>
              <w:tblW w:w="0" w:type="auto"/>
              <w:tblLayout w:type="fixed"/>
              <w:tblLook w:val="01E0" w:firstRow="1" w:lastRow="1" w:firstColumn="1" w:lastColumn="1" w:noHBand="0" w:noVBand="0"/>
            </w:tblPr>
            <w:tblGrid>
              <w:gridCol w:w="1728"/>
              <w:gridCol w:w="2700"/>
            </w:tblGrid>
            <w:tr w:rsidR="00BA060C" w:rsidRPr="00BA060C" w:rsidTr="00174AED">
              <w:tc>
                <w:tcPr>
                  <w:tcW w:w="1728" w:type="dxa"/>
                  <w:shd w:val="clear" w:color="auto" w:fill="E6E6E6"/>
                </w:tcPr>
                <w:p w:rsidR="00BA060C" w:rsidRPr="00BA060C" w:rsidRDefault="00BA060C" w:rsidP="00BA060C">
                  <w:pPr>
                    <w:spacing w:line="276" w:lineRule="auto"/>
                    <w:jc w:val="both"/>
                    <w:rPr>
                      <w:sz w:val="22"/>
                      <w:szCs w:val="22"/>
                      <w:lang w:val="lv-LV"/>
                    </w:rPr>
                  </w:pPr>
                  <w:r w:rsidRPr="00BA060C">
                    <w:rPr>
                      <w:sz w:val="22"/>
                      <w:szCs w:val="22"/>
                      <w:lang w:val="lv-LV"/>
                    </w:rPr>
                    <w:t>Ražotājfirma</w:t>
                  </w:r>
                </w:p>
              </w:tc>
              <w:tc>
                <w:tcPr>
                  <w:tcW w:w="2700" w:type="dxa"/>
                  <w:shd w:val="clear" w:color="auto" w:fill="E6E6E6"/>
                </w:tcPr>
                <w:p w:rsidR="00BA060C" w:rsidRPr="00BA060C" w:rsidRDefault="00BA060C" w:rsidP="00BA060C">
                  <w:pPr>
                    <w:spacing w:line="276" w:lineRule="auto"/>
                    <w:jc w:val="both"/>
                    <w:rPr>
                      <w:sz w:val="22"/>
                      <w:szCs w:val="22"/>
                      <w:lang w:val="lv-LV"/>
                    </w:rPr>
                  </w:pPr>
                  <w:r w:rsidRPr="00BA060C">
                    <w:rPr>
                      <w:sz w:val="22"/>
                      <w:szCs w:val="22"/>
                      <w:lang w:val="lv-LV"/>
                    </w:rPr>
                    <w:t>TGA/DSC/DTA iekārtas krāsns tips</w:t>
                  </w:r>
                </w:p>
              </w:tc>
            </w:tr>
            <w:tr w:rsidR="00BA060C" w:rsidRPr="00BA060C" w:rsidTr="00174AED">
              <w:tc>
                <w:tcPr>
                  <w:tcW w:w="1728" w:type="dxa"/>
                </w:tcPr>
                <w:p w:rsidR="00BA060C" w:rsidRPr="00BA060C" w:rsidRDefault="00BA060C" w:rsidP="00BA060C">
                  <w:pPr>
                    <w:spacing w:line="276" w:lineRule="auto"/>
                    <w:jc w:val="both"/>
                    <w:rPr>
                      <w:sz w:val="22"/>
                      <w:szCs w:val="22"/>
                      <w:lang w:val="lv-LV"/>
                    </w:rPr>
                  </w:pPr>
                  <w:r w:rsidRPr="00BA060C">
                    <w:rPr>
                      <w:sz w:val="22"/>
                      <w:szCs w:val="22"/>
                      <w:lang w:val="lv-LV"/>
                    </w:rPr>
                    <w:t>Netzsch</w:t>
                  </w:r>
                </w:p>
              </w:tc>
              <w:tc>
                <w:tcPr>
                  <w:tcW w:w="2700" w:type="dxa"/>
                </w:tcPr>
                <w:p w:rsidR="00BA060C" w:rsidRPr="00BA060C" w:rsidRDefault="00BA060C" w:rsidP="00BA060C">
                  <w:pPr>
                    <w:spacing w:line="276" w:lineRule="auto"/>
                    <w:jc w:val="both"/>
                    <w:rPr>
                      <w:sz w:val="22"/>
                      <w:szCs w:val="22"/>
                      <w:lang w:val="lv-LV"/>
                    </w:rPr>
                  </w:pPr>
                  <w:r w:rsidRPr="00BA060C">
                    <w:rPr>
                      <w:sz w:val="22"/>
                      <w:szCs w:val="22"/>
                      <w:lang w:val="lv-LV"/>
                    </w:rPr>
                    <w:t>vertikāla</w:t>
                  </w:r>
                </w:p>
              </w:tc>
            </w:tr>
            <w:tr w:rsidR="00BA060C" w:rsidRPr="00BA060C" w:rsidTr="00174AED">
              <w:tc>
                <w:tcPr>
                  <w:tcW w:w="1728" w:type="dxa"/>
                </w:tcPr>
                <w:p w:rsidR="00BA060C" w:rsidRPr="00BA060C" w:rsidRDefault="00BA060C" w:rsidP="00BA060C">
                  <w:pPr>
                    <w:spacing w:line="276" w:lineRule="auto"/>
                    <w:jc w:val="both"/>
                    <w:rPr>
                      <w:sz w:val="22"/>
                      <w:szCs w:val="22"/>
                      <w:lang w:val="lv-LV"/>
                    </w:rPr>
                  </w:pPr>
                  <w:r w:rsidRPr="00BA060C">
                    <w:rPr>
                      <w:sz w:val="22"/>
                      <w:szCs w:val="22"/>
                      <w:lang w:val="lv-LV"/>
                    </w:rPr>
                    <w:t>Setaram</w:t>
                  </w:r>
                </w:p>
              </w:tc>
              <w:tc>
                <w:tcPr>
                  <w:tcW w:w="2700" w:type="dxa"/>
                </w:tcPr>
                <w:p w:rsidR="00BA060C" w:rsidRPr="00BA060C" w:rsidRDefault="00BA060C" w:rsidP="00BA060C">
                  <w:pPr>
                    <w:spacing w:line="276" w:lineRule="auto"/>
                    <w:jc w:val="both"/>
                    <w:rPr>
                      <w:sz w:val="22"/>
                      <w:szCs w:val="22"/>
                      <w:lang w:val="lv-LV"/>
                    </w:rPr>
                  </w:pPr>
                  <w:r w:rsidRPr="00BA060C">
                    <w:rPr>
                      <w:sz w:val="22"/>
                      <w:szCs w:val="22"/>
                      <w:lang w:val="lv-LV"/>
                    </w:rPr>
                    <w:t>vertikāla</w:t>
                  </w:r>
                </w:p>
              </w:tc>
            </w:tr>
            <w:tr w:rsidR="00BA060C" w:rsidRPr="00BA060C" w:rsidTr="00174AED">
              <w:tc>
                <w:tcPr>
                  <w:tcW w:w="1728" w:type="dxa"/>
                </w:tcPr>
                <w:p w:rsidR="00BA060C" w:rsidRPr="00BA060C" w:rsidRDefault="00BA060C" w:rsidP="00BA060C">
                  <w:pPr>
                    <w:spacing w:line="276" w:lineRule="auto"/>
                    <w:jc w:val="both"/>
                    <w:rPr>
                      <w:sz w:val="22"/>
                      <w:szCs w:val="22"/>
                      <w:lang w:val="lv-LV"/>
                    </w:rPr>
                  </w:pPr>
                  <w:r w:rsidRPr="00BA060C">
                    <w:rPr>
                      <w:sz w:val="22"/>
                      <w:szCs w:val="22"/>
                      <w:lang w:val="lv-LV"/>
                    </w:rPr>
                    <w:t>Linseis</w:t>
                  </w:r>
                </w:p>
              </w:tc>
              <w:tc>
                <w:tcPr>
                  <w:tcW w:w="2700" w:type="dxa"/>
                </w:tcPr>
                <w:p w:rsidR="00BA060C" w:rsidRPr="00BA060C" w:rsidRDefault="00BA060C" w:rsidP="00BA060C">
                  <w:pPr>
                    <w:spacing w:line="276" w:lineRule="auto"/>
                    <w:jc w:val="both"/>
                    <w:rPr>
                      <w:sz w:val="22"/>
                      <w:szCs w:val="22"/>
                      <w:lang w:val="lv-LV"/>
                    </w:rPr>
                  </w:pPr>
                  <w:r w:rsidRPr="00BA060C">
                    <w:rPr>
                      <w:sz w:val="22"/>
                      <w:szCs w:val="22"/>
                      <w:lang w:val="lv-LV"/>
                    </w:rPr>
                    <w:t>vertikāla</w:t>
                  </w:r>
                </w:p>
              </w:tc>
            </w:tr>
            <w:tr w:rsidR="00BA060C" w:rsidRPr="00BA060C" w:rsidTr="00174AED">
              <w:tc>
                <w:tcPr>
                  <w:tcW w:w="1728" w:type="dxa"/>
                </w:tcPr>
                <w:p w:rsidR="00BA060C" w:rsidRPr="00BA060C" w:rsidRDefault="00BA060C" w:rsidP="00BA060C">
                  <w:pPr>
                    <w:spacing w:line="276" w:lineRule="auto"/>
                    <w:jc w:val="both"/>
                    <w:rPr>
                      <w:sz w:val="22"/>
                      <w:szCs w:val="22"/>
                      <w:lang w:val="lv-LV"/>
                    </w:rPr>
                  </w:pPr>
                  <w:r w:rsidRPr="00BA060C">
                    <w:rPr>
                      <w:sz w:val="22"/>
                      <w:szCs w:val="22"/>
                      <w:lang w:val="lv-LV"/>
                    </w:rPr>
                    <w:t>Perkin Elmer</w:t>
                  </w:r>
                </w:p>
              </w:tc>
              <w:tc>
                <w:tcPr>
                  <w:tcW w:w="2700" w:type="dxa"/>
                </w:tcPr>
                <w:p w:rsidR="00BA060C" w:rsidRPr="00BA060C" w:rsidRDefault="00BA060C" w:rsidP="00BA060C">
                  <w:pPr>
                    <w:spacing w:line="276" w:lineRule="auto"/>
                    <w:jc w:val="both"/>
                    <w:rPr>
                      <w:sz w:val="22"/>
                      <w:szCs w:val="22"/>
                      <w:lang w:val="lv-LV"/>
                    </w:rPr>
                  </w:pPr>
                  <w:r w:rsidRPr="00BA060C">
                    <w:rPr>
                      <w:sz w:val="22"/>
                      <w:szCs w:val="22"/>
                      <w:lang w:val="lv-LV"/>
                    </w:rPr>
                    <w:t>vertikāla</w:t>
                  </w:r>
                </w:p>
              </w:tc>
            </w:tr>
            <w:tr w:rsidR="00BA060C" w:rsidRPr="00BA060C" w:rsidTr="00174AED">
              <w:tc>
                <w:tcPr>
                  <w:tcW w:w="1728" w:type="dxa"/>
                </w:tcPr>
                <w:p w:rsidR="00BA060C" w:rsidRPr="00BA060C" w:rsidRDefault="00BA060C" w:rsidP="00BA060C">
                  <w:pPr>
                    <w:spacing w:line="276" w:lineRule="auto"/>
                    <w:jc w:val="both"/>
                    <w:rPr>
                      <w:sz w:val="22"/>
                      <w:szCs w:val="22"/>
                      <w:lang w:val="lv-LV"/>
                    </w:rPr>
                  </w:pPr>
                  <w:r w:rsidRPr="00BA060C">
                    <w:rPr>
                      <w:sz w:val="22"/>
                      <w:szCs w:val="22"/>
                      <w:lang w:val="lv-LV"/>
                    </w:rPr>
                    <w:t>Mettler Toledo</w:t>
                  </w:r>
                </w:p>
              </w:tc>
              <w:tc>
                <w:tcPr>
                  <w:tcW w:w="2700" w:type="dxa"/>
                </w:tcPr>
                <w:p w:rsidR="00BA060C" w:rsidRPr="00BA060C" w:rsidRDefault="00BA060C" w:rsidP="00BA060C">
                  <w:pPr>
                    <w:spacing w:line="276" w:lineRule="auto"/>
                    <w:jc w:val="both"/>
                    <w:rPr>
                      <w:sz w:val="22"/>
                      <w:szCs w:val="22"/>
                      <w:lang w:val="lv-LV"/>
                    </w:rPr>
                  </w:pPr>
                  <w:r w:rsidRPr="00BA060C">
                    <w:rPr>
                      <w:sz w:val="22"/>
                      <w:szCs w:val="22"/>
                      <w:lang w:val="lv-LV"/>
                    </w:rPr>
                    <w:t>horizontāla</w:t>
                  </w:r>
                </w:p>
              </w:tc>
            </w:tr>
            <w:tr w:rsidR="00BA060C" w:rsidRPr="00BA060C" w:rsidTr="00174AED">
              <w:tc>
                <w:tcPr>
                  <w:tcW w:w="1728" w:type="dxa"/>
                </w:tcPr>
                <w:p w:rsidR="00BA060C" w:rsidRPr="00BA060C" w:rsidRDefault="00BA060C" w:rsidP="00BA060C">
                  <w:pPr>
                    <w:spacing w:line="276" w:lineRule="auto"/>
                    <w:jc w:val="both"/>
                    <w:rPr>
                      <w:sz w:val="22"/>
                      <w:szCs w:val="22"/>
                      <w:lang w:val="lv-LV"/>
                    </w:rPr>
                  </w:pPr>
                  <w:r w:rsidRPr="00BA060C">
                    <w:rPr>
                      <w:sz w:val="22"/>
                      <w:szCs w:val="22"/>
                      <w:lang w:val="lv-LV"/>
                    </w:rPr>
                    <w:t>TA instruments</w:t>
                  </w:r>
                </w:p>
              </w:tc>
              <w:tc>
                <w:tcPr>
                  <w:tcW w:w="2700" w:type="dxa"/>
                </w:tcPr>
                <w:p w:rsidR="00BA060C" w:rsidRPr="00BA060C" w:rsidRDefault="00BA060C" w:rsidP="00BA060C">
                  <w:pPr>
                    <w:spacing w:line="276" w:lineRule="auto"/>
                    <w:jc w:val="both"/>
                    <w:rPr>
                      <w:sz w:val="22"/>
                      <w:szCs w:val="22"/>
                      <w:lang w:val="lv-LV"/>
                    </w:rPr>
                  </w:pPr>
                  <w:r w:rsidRPr="00BA060C">
                    <w:rPr>
                      <w:sz w:val="22"/>
                      <w:szCs w:val="22"/>
                      <w:lang w:val="lv-LV"/>
                    </w:rPr>
                    <w:t>horizontāla</w:t>
                  </w:r>
                </w:p>
              </w:tc>
            </w:tr>
          </w:tbl>
          <w:p w:rsidR="00BA060C" w:rsidRPr="00BA060C" w:rsidRDefault="00BA060C" w:rsidP="00BA060C">
            <w:pPr>
              <w:spacing w:line="276" w:lineRule="auto"/>
              <w:jc w:val="both"/>
              <w:rPr>
                <w:sz w:val="22"/>
                <w:szCs w:val="22"/>
                <w:lang w:val="lv-LV"/>
              </w:rPr>
            </w:pPr>
            <w:r w:rsidRPr="00BA060C">
              <w:rPr>
                <w:sz w:val="22"/>
                <w:szCs w:val="22"/>
                <w:lang w:val="lv-LV"/>
              </w:rPr>
              <w:t>1. tabula. Galveno termiskās analīzes ražotājfirmu sadalījums pa TGA/DSC/DTA iekārtu krāšņu tipiem</w:t>
            </w:r>
          </w:p>
          <w:p w:rsidR="00BA060C" w:rsidRPr="00BA060C" w:rsidRDefault="00BA060C" w:rsidP="00BA060C">
            <w:pPr>
              <w:spacing w:line="276" w:lineRule="auto"/>
              <w:jc w:val="both"/>
              <w:rPr>
                <w:sz w:val="22"/>
                <w:szCs w:val="22"/>
                <w:lang w:val="lv-LV"/>
              </w:rPr>
            </w:pPr>
            <w:r w:rsidRPr="00BA060C">
              <w:rPr>
                <w:sz w:val="22"/>
                <w:szCs w:val="22"/>
                <w:lang w:val="lv-LV"/>
              </w:rPr>
              <w:lastRenderedPageBreak/>
              <w:t>Iekārtu specifikāciju analīze rāda, ka krāsns tips neietekmē TGA/DSC/DTA izšķirtspēju, diapazonu un iekārtas stabilitāti. Ražotājfirma NETZSCH, piemēram, pēdējā laikā ir pārgājusi no horizontāla krāsns tipa uz vertikālu.</w:t>
            </w:r>
          </w:p>
          <w:p w:rsidR="00CA4AC5" w:rsidRPr="00CA4AC5" w:rsidRDefault="00CA4AC5" w:rsidP="005C24D5">
            <w:pPr>
              <w:spacing w:line="276" w:lineRule="auto"/>
              <w:jc w:val="both"/>
              <w:rPr>
                <w:b/>
                <w:sz w:val="22"/>
                <w:szCs w:val="22"/>
                <w:lang w:val="lv-LV"/>
              </w:rPr>
            </w:pPr>
            <w:r w:rsidRPr="00CA4AC5">
              <w:rPr>
                <w:b/>
                <w:sz w:val="22"/>
                <w:szCs w:val="22"/>
                <w:lang w:val="lv-LV"/>
              </w:rPr>
              <w:t>Atbilde Nr.1</w:t>
            </w:r>
          </w:p>
          <w:p w:rsidR="00BA060C" w:rsidRPr="00BA060C" w:rsidRDefault="00BA060C" w:rsidP="00CB1310">
            <w:pPr>
              <w:jc w:val="both"/>
              <w:rPr>
                <w:lang w:val="lv-LV"/>
              </w:rPr>
            </w:pPr>
            <w:r w:rsidRPr="00BA060C">
              <w:rPr>
                <w:lang w:val="lv-LV"/>
              </w:rPr>
              <w:t>Pretendentam ir jāpiedāvā iekārta atbilstoši Pasūtītāja izvirzītajām prasībām</w:t>
            </w:r>
            <w:r w:rsidR="00CB1310">
              <w:rPr>
                <w:lang w:val="lv-LV"/>
              </w:rPr>
              <w:t>,</w:t>
            </w:r>
            <w:r w:rsidRPr="00BA060C">
              <w:rPr>
                <w:lang w:val="lv-LV"/>
              </w:rPr>
              <w:t xml:space="preserve"> t.i. ar </w:t>
            </w:r>
            <w:r w:rsidRPr="00BA060C">
              <w:rPr>
                <w:b/>
                <w:lang w:val="lv-LV"/>
              </w:rPr>
              <w:t>horizontālu krāsns tipu</w:t>
            </w:r>
            <w:r w:rsidRPr="00BA060C">
              <w:rPr>
                <w:lang w:val="lv-LV"/>
              </w:rPr>
              <w:t>, jo</w:t>
            </w:r>
            <w:r w:rsidR="00CB1310">
              <w:rPr>
                <w:lang w:val="lv-LV"/>
              </w:rPr>
              <w:t xml:space="preserve"> atbilstība minētajai prasībai ir izšķiroša iepirkuma priekšmeta pastāvēšanai šādu apsvērumu dēļ:</w:t>
            </w:r>
          </w:p>
          <w:p w:rsidR="00BA060C" w:rsidRPr="00CB1310" w:rsidRDefault="00CB1310" w:rsidP="00CB1310">
            <w:pPr>
              <w:pStyle w:val="ListParagraph"/>
              <w:numPr>
                <w:ilvl w:val="1"/>
                <w:numId w:val="44"/>
              </w:numPr>
              <w:jc w:val="both"/>
              <w:rPr>
                <w:lang w:val="lv-LV"/>
              </w:rPr>
            </w:pPr>
            <w:r>
              <w:rPr>
                <w:lang w:val="lv-LV"/>
              </w:rPr>
              <w:t>v</w:t>
            </w:r>
            <w:r w:rsidR="00BA060C" w:rsidRPr="00CB1310">
              <w:rPr>
                <w:lang w:val="lv-LV"/>
              </w:rPr>
              <w:t>ertikālām krāsnīm ir daudz izteiktāks tā saucamais “skursteņa efekts”. Tas nozīmē, ka krāsnī dabiski rodas papildus gaisa vilkme, kura tikai apgrūtinās un paildzin</w:t>
            </w:r>
            <w:r>
              <w:rPr>
                <w:lang w:val="lv-LV"/>
              </w:rPr>
              <w:t>ās svēršanas/</w:t>
            </w:r>
            <w:r w:rsidR="00BA060C" w:rsidRPr="00CB1310">
              <w:rPr>
                <w:lang w:val="lv-LV"/>
              </w:rPr>
              <w:t>tarēšanas un mērīšanas procesus. Šis efekts būs jo izteiktāks</w:t>
            </w:r>
            <w:r>
              <w:rPr>
                <w:lang w:val="lv-LV"/>
              </w:rPr>
              <w:t>,</w:t>
            </w:r>
            <w:r w:rsidR="00BA060C" w:rsidRPr="00CB1310">
              <w:rPr>
                <w:lang w:val="lv-LV"/>
              </w:rPr>
              <w:t xml:space="preserve"> pieaugot krāsns temperatūrai, kas ir īpaši būtiski au</w:t>
            </w:r>
            <w:r>
              <w:rPr>
                <w:lang w:val="lv-LV"/>
              </w:rPr>
              <w:t>gsttemperatūras krāsns gadījumā;</w:t>
            </w:r>
          </w:p>
          <w:p w:rsidR="00BA060C" w:rsidRPr="00BA060C" w:rsidRDefault="00CB1310" w:rsidP="00CB1310">
            <w:pPr>
              <w:numPr>
                <w:ilvl w:val="1"/>
                <w:numId w:val="44"/>
              </w:numPr>
              <w:jc w:val="both"/>
              <w:rPr>
                <w:lang w:val="lv-LV"/>
              </w:rPr>
            </w:pPr>
            <w:r>
              <w:rPr>
                <w:lang w:val="lv-LV"/>
              </w:rPr>
              <w:t>v</w:t>
            </w:r>
            <w:r w:rsidR="00BA060C" w:rsidRPr="00BA060C">
              <w:rPr>
                <w:lang w:val="lv-LV"/>
              </w:rPr>
              <w:t>ertikālām krāsnīm no operatora viedokļa ir sarežģītāka darbība ar paraugiem. Dažiem ražotājiem paraugs ir iekārts šūpojošā turētājā, kas procesu padara sevišķi apgrūtinošu. Problēmas rada parauga tīģelīša/parauga turētāja palielinātas saskaršanās iespējas ar krāsns sieniņām eksperimenta laikā, piemēram, notiekošo vides gāzu fluktuāciju dēļ (t.sk. paraugā norisošo eksotermisko procesu ietekmē).  Šādi paraugu turētāji būs arī regulāri jāmaina, kas radīs papildus izdevumus. Vienlaicīgi ir apgrūtināta krāsns iztīrīšana pēc parauga nejaušas nokrišanas no svariem</w:t>
            </w:r>
            <w:r>
              <w:rPr>
                <w:lang w:val="lv-LV"/>
              </w:rPr>
              <w:t>;</w:t>
            </w:r>
          </w:p>
          <w:p w:rsidR="00BA060C" w:rsidRDefault="00CB1310" w:rsidP="00CB1310">
            <w:pPr>
              <w:numPr>
                <w:ilvl w:val="1"/>
                <w:numId w:val="44"/>
              </w:numPr>
              <w:jc w:val="both"/>
              <w:rPr>
                <w:lang w:val="lv-LV"/>
              </w:rPr>
            </w:pPr>
            <w:r>
              <w:rPr>
                <w:lang w:val="lv-LV"/>
              </w:rPr>
              <w:t>a</w:t>
            </w:r>
            <w:r w:rsidR="00BA060C" w:rsidRPr="00BA060C">
              <w:rPr>
                <w:lang w:val="lv-LV"/>
              </w:rPr>
              <w:t>tkarībā no ražotāja</w:t>
            </w:r>
            <w:r>
              <w:rPr>
                <w:lang w:val="lv-LV"/>
              </w:rPr>
              <w:t>,</w:t>
            </w:r>
            <w:r w:rsidR="00BA060C" w:rsidRPr="00BA060C">
              <w:rPr>
                <w:lang w:val="lv-LV"/>
              </w:rPr>
              <w:t xml:space="preserve"> svēršanas šūna vertikālām krāsnīm ir novietota vai nu zem parauga, vai arī virs tā. Ja šūna novietota zem parauga, tad tā ir pakļauta piesārņojuma riskam no krītošajām pabirām. Ja šūna ir novietota virs parauga, tad tā ir pakļauta piesārņojumam, ko radīs no parauga izdalītās gāzes. </w:t>
            </w:r>
            <w:r>
              <w:rPr>
                <w:lang w:val="lv-LV"/>
              </w:rPr>
              <w:t>Ievērojot faktu, ka horizontālai krāsnij</w:t>
            </w:r>
            <w:r w:rsidR="00BA060C" w:rsidRPr="00BA060C">
              <w:rPr>
                <w:lang w:val="lv-LV"/>
              </w:rPr>
              <w:t xml:space="preserve"> šūna ir novietota sānos, neviens no šiem faktoriem šūnu</w:t>
            </w:r>
            <w:r>
              <w:rPr>
                <w:lang w:val="lv-LV"/>
              </w:rPr>
              <w:t xml:space="preserve"> neietekmē, kas, savukārt, nodrošina nepieciešamo iepirkuma priekšmeta funkcionalitāti;</w:t>
            </w:r>
          </w:p>
          <w:p w:rsidR="00CB1310" w:rsidRPr="00BA060C" w:rsidRDefault="00CB1310" w:rsidP="00CB1310">
            <w:pPr>
              <w:numPr>
                <w:ilvl w:val="1"/>
                <w:numId w:val="44"/>
              </w:numPr>
              <w:jc w:val="both"/>
              <w:rPr>
                <w:lang w:val="lv-LV"/>
              </w:rPr>
            </w:pPr>
            <w:r w:rsidRPr="00CB1310">
              <w:rPr>
                <w:lang w:val="lv-LV"/>
              </w:rPr>
              <w:t>horizontāls krāsns dizains palīdz minimizēt jebkādas turbulences, kuras rada termālā peldspēja un nesēj-gāzes</w:t>
            </w:r>
            <w:r>
              <w:rPr>
                <w:lang w:val="lv-LV"/>
              </w:rPr>
              <w:t>.</w:t>
            </w:r>
          </w:p>
          <w:p w:rsidR="003E1440" w:rsidRDefault="003E1440" w:rsidP="00592E4C">
            <w:pPr>
              <w:spacing w:line="276" w:lineRule="auto"/>
              <w:jc w:val="both"/>
              <w:rPr>
                <w:sz w:val="22"/>
                <w:szCs w:val="22"/>
                <w:lang w:val="lv-LV"/>
              </w:rPr>
            </w:pPr>
          </w:p>
          <w:p w:rsidR="003E1440" w:rsidRPr="00CA4AC5" w:rsidRDefault="003E1440" w:rsidP="003E1440">
            <w:pPr>
              <w:spacing w:line="276" w:lineRule="auto"/>
              <w:jc w:val="both"/>
              <w:rPr>
                <w:b/>
                <w:sz w:val="22"/>
                <w:szCs w:val="22"/>
                <w:lang w:val="lv-LV"/>
              </w:rPr>
            </w:pPr>
            <w:r w:rsidRPr="00CA4AC5">
              <w:rPr>
                <w:b/>
                <w:sz w:val="22"/>
                <w:szCs w:val="22"/>
                <w:lang w:val="lv-LV"/>
              </w:rPr>
              <w:t>Jautājums Nr.</w:t>
            </w:r>
            <w:r>
              <w:rPr>
                <w:b/>
                <w:sz w:val="22"/>
                <w:szCs w:val="22"/>
                <w:lang w:val="lv-LV"/>
              </w:rPr>
              <w:t>2</w:t>
            </w:r>
          </w:p>
          <w:p w:rsidR="00CB1310" w:rsidRPr="00CB1310" w:rsidRDefault="00CB1310" w:rsidP="00CB1310">
            <w:pPr>
              <w:jc w:val="both"/>
              <w:rPr>
                <w:lang w:val="lv-LV"/>
              </w:rPr>
            </w:pPr>
            <w:r w:rsidRPr="00CB1310">
              <w:rPr>
                <w:sz w:val="22"/>
                <w:szCs w:val="22"/>
                <w:lang w:val="lv-LV" w:eastAsia="lv-LV"/>
              </w:rPr>
              <w:t>Lūdzam svītrot specifikācijas 1.punkta apakšpunkta „</w:t>
            </w:r>
            <w:r w:rsidRPr="00CB1310">
              <w:rPr>
                <w:sz w:val="22"/>
                <w:szCs w:val="22"/>
                <w:lang w:val="lv-LV"/>
              </w:rPr>
              <w:t xml:space="preserve">Datora programmatūras saderība” prasību: </w:t>
            </w:r>
            <w:r w:rsidRPr="00CB1310">
              <w:rPr>
                <w:lang w:val="lv-LV"/>
              </w:rPr>
              <w:t>„</w:t>
            </w:r>
            <w:r w:rsidRPr="00CB1310">
              <w:rPr>
                <w:i/>
                <w:lang w:val="lv-LV"/>
              </w:rPr>
              <w:t>Prasītajai programmatūrai jābūt saderīgai ar pasūtītāja rīcībā esošo STARe Basic V13.00 versiju no Mettler Toledo uz kuras bāzes tiks instalētas programmas papildus opcijas</w:t>
            </w:r>
            <w:r w:rsidRPr="00CB1310">
              <w:rPr>
                <w:lang w:val="lv-LV"/>
              </w:rPr>
              <w:t>”.</w:t>
            </w:r>
          </w:p>
          <w:p w:rsidR="00CB1310" w:rsidRPr="00CB1310" w:rsidRDefault="00CB1310" w:rsidP="00CB1310">
            <w:pPr>
              <w:jc w:val="both"/>
              <w:rPr>
                <w:lang w:val="lv-LV"/>
              </w:rPr>
            </w:pPr>
            <w:r w:rsidRPr="00CB1310">
              <w:rPr>
                <w:lang w:val="lv-LV"/>
              </w:rPr>
              <w:t>PAMATOJUMS</w:t>
            </w:r>
            <w:r>
              <w:rPr>
                <w:lang w:val="lv-LV"/>
              </w:rPr>
              <w:t>:</w:t>
            </w:r>
          </w:p>
          <w:p w:rsidR="00CB1310" w:rsidRPr="00CB1310" w:rsidRDefault="00CB1310" w:rsidP="00CB1310">
            <w:pPr>
              <w:jc w:val="both"/>
              <w:rPr>
                <w:lang w:val="lv-LV"/>
              </w:rPr>
            </w:pPr>
            <w:r w:rsidRPr="00CB1310">
              <w:rPr>
                <w:lang w:val="lv-LV"/>
              </w:rPr>
              <w:t>Tā kā datorvadāmu iekārtu ražotājfirmu programmas tipiski nav saderīgas ar citu firmu iekārtu programmām, šis specifikācijas punkts ierobežo brīvu konkurenci un ir pretrunā ar Publisko iepirkumu likuma</w:t>
            </w:r>
            <w:r>
              <w:rPr>
                <w:lang w:val="lv-LV"/>
              </w:rPr>
              <w:t xml:space="preserve"> 20.</w:t>
            </w:r>
            <w:r w:rsidRPr="00CB1310">
              <w:rPr>
                <w:lang w:val="lv-LV"/>
              </w:rPr>
              <w:t>panta 6.punktu:</w:t>
            </w:r>
          </w:p>
          <w:p w:rsidR="00CB1310" w:rsidRPr="00CB1310" w:rsidRDefault="00CB1310" w:rsidP="00CB1310">
            <w:pPr>
              <w:jc w:val="both"/>
              <w:rPr>
                <w:lang w:val="lv-LV"/>
              </w:rPr>
            </w:pPr>
            <w:r w:rsidRPr="00CB1310">
              <w:rPr>
                <w:lang w:val="lv-LV"/>
              </w:rPr>
              <w:t>„</w:t>
            </w:r>
            <w:r w:rsidRPr="00CB1310">
              <w:rPr>
                <w:i/>
                <w:lang w:val="lv-LV"/>
              </w:rPr>
              <w:t>Ja tas nav izšķiroši svarīgi iepirkuma līguma priekšmeta pastāvēšanai, tehniskajās specifikācijās 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iepirkuma līguma priekšmeta aprakstu saskaņā ar šā panta piekto daļu</w:t>
            </w:r>
            <w:r w:rsidRPr="00CB1310">
              <w:rPr>
                <w:lang w:val="lv-LV"/>
              </w:rPr>
              <w:t>”.</w:t>
            </w:r>
          </w:p>
          <w:p w:rsidR="00CB1310" w:rsidRPr="00CB1310" w:rsidRDefault="00CB1310" w:rsidP="00CB1310">
            <w:pPr>
              <w:jc w:val="both"/>
              <w:rPr>
                <w:lang w:val="lv-LV"/>
              </w:rPr>
            </w:pPr>
            <w:r w:rsidRPr="00CB1310">
              <w:rPr>
                <w:lang w:val="lv-LV"/>
              </w:rPr>
              <w:t xml:space="preserve">Šajā gadījumā nav redzams, ka tas, ka pasūtītāja rīcībā ir termiskās analīzes programma </w:t>
            </w:r>
            <w:r w:rsidRPr="00CB1310">
              <w:rPr>
                <w:i/>
                <w:lang w:val="lv-LV"/>
              </w:rPr>
              <w:t>STARe Basic V13.00</w:t>
            </w:r>
            <w:r w:rsidRPr="00CB1310">
              <w:rPr>
                <w:lang w:val="lv-LV"/>
              </w:rPr>
              <w:t>, būtu izšķiroši svarīgi iekārtu kompleksa (termiskais analizators + gāzu hromatogrāfs + masspektrometrs) iegādei. Pēc mūsu novērtējuma, programma varētu maksāt ne vairāk kā 4% no iepirkuma priekšmeta kopējās summas. Kā specifikācija rāda, sagatavot precīzu un skaidru iepirkuma līguma priekšmeta aprakstu ir bijis iespējams.</w:t>
            </w:r>
          </w:p>
          <w:p w:rsidR="004879EA" w:rsidRDefault="004879EA" w:rsidP="00CA4AC5">
            <w:pPr>
              <w:spacing w:line="276" w:lineRule="auto"/>
              <w:jc w:val="both"/>
              <w:rPr>
                <w:b/>
                <w:sz w:val="22"/>
                <w:szCs w:val="22"/>
                <w:lang w:val="lv-LV"/>
              </w:rPr>
            </w:pPr>
          </w:p>
          <w:p w:rsidR="004879EA" w:rsidRDefault="004879EA" w:rsidP="00CA4AC5">
            <w:pPr>
              <w:spacing w:line="276" w:lineRule="auto"/>
              <w:jc w:val="both"/>
              <w:rPr>
                <w:b/>
                <w:sz w:val="22"/>
                <w:szCs w:val="22"/>
                <w:lang w:val="lv-LV"/>
              </w:rPr>
            </w:pPr>
          </w:p>
          <w:p w:rsidR="002C2A04" w:rsidRPr="003E1440" w:rsidRDefault="003E1440" w:rsidP="00CA4AC5">
            <w:pPr>
              <w:spacing w:line="276" w:lineRule="auto"/>
              <w:jc w:val="both"/>
              <w:rPr>
                <w:b/>
                <w:sz w:val="22"/>
                <w:szCs w:val="22"/>
                <w:lang w:val="lv-LV"/>
              </w:rPr>
            </w:pPr>
            <w:r w:rsidRPr="003E1440">
              <w:rPr>
                <w:b/>
                <w:sz w:val="22"/>
                <w:szCs w:val="22"/>
                <w:lang w:val="lv-LV"/>
              </w:rPr>
              <w:lastRenderedPageBreak/>
              <w:t>Atbilde Nr.2</w:t>
            </w:r>
          </w:p>
          <w:p w:rsidR="004879EA" w:rsidRPr="004879EA" w:rsidRDefault="004879EA" w:rsidP="004879EA">
            <w:pPr>
              <w:jc w:val="both"/>
              <w:rPr>
                <w:lang w:val="lv-LV"/>
              </w:rPr>
            </w:pPr>
            <w:r w:rsidRPr="004879EA">
              <w:rPr>
                <w:lang w:val="lv-LV"/>
              </w:rPr>
              <w:t xml:space="preserve">Pretendentam ir jāpiedāvā programmatūra, kura ir </w:t>
            </w:r>
            <w:r w:rsidRPr="004879EA">
              <w:rPr>
                <w:b/>
                <w:lang w:val="lv-LV"/>
              </w:rPr>
              <w:t>saderīga ar STARe Basic V13.00 versiju</w:t>
            </w:r>
            <w:r>
              <w:rPr>
                <w:lang w:val="lv-LV"/>
              </w:rPr>
              <w:t xml:space="preserve">, </w:t>
            </w:r>
            <w:r w:rsidRPr="004879EA">
              <w:rPr>
                <w:lang w:val="lv-LV"/>
              </w:rPr>
              <w:t>jo atbilstība minētajai prasībai ir izšķiroša iepirkuma priekšmeta pastāvēšanai šādu apsvērumu dēļ:</w:t>
            </w:r>
          </w:p>
          <w:p w:rsidR="004879EA" w:rsidRDefault="004879EA" w:rsidP="004879EA">
            <w:pPr>
              <w:pStyle w:val="ListParagraph"/>
              <w:numPr>
                <w:ilvl w:val="0"/>
                <w:numId w:val="46"/>
              </w:numPr>
              <w:jc w:val="both"/>
              <w:rPr>
                <w:lang w:val="lv-LV"/>
              </w:rPr>
            </w:pPr>
            <w:r w:rsidRPr="004879EA">
              <w:rPr>
                <w:lang w:val="lv-LV"/>
              </w:rPr>
              <w:t>TGA ir</w:t>
            </w:r>
            <w:r>
              <w:rPr>
                <w:lang w:val="lv-LV"/>
              </w:rPr>
              <w:t xml:space="preserve"> daļa no eso</w:t>
            </w:r>
            <w:r w:rsidR="00AB0DB6">
              <w:rPr>
                <w:lang w:val="lv-LV"/>
              </w:rPr>
              <w:t>šās laboratorijas iekārtu sistēmas -</w:t>
            </w:r>
            <w:r w:rsidRPr="004879EA">
              <w:rPr>
                <w:lang w:val="lv-LV"/>
              </w:rPr>
              <w:t xml:space="preserve"> viens no pamata moduļiem termisko analīžu iekārtu klāstā un </w:t>
            </w:r>
            <w:r w:rsidRPr="004879EA">
              <w:rPr>
                <w:lang w:val="lv-LV"/>
              </w:rPr>
              <w:t>Pasūtītājam</w:t>
            </w:r>
            <w:r w:rsidRPr="004879EA">
              <w:rPr>
                <w:lang w:val="lv-LV"/>
              </w:rPr>
              <w:t xml:space="preserve"> ir būtiski, lai laboratorijā būtu vienota sistēma, kurā esošās Mettler/Toledo DSC iekārtas programmatūra ir saderīga ar jauno TGA. Tas ļauj vienā sistēmā </w:t>
            </w:r>
            <w:r w:rsidRPr="004879EA">
              <w:rPr>
                <w:lang w:val="lv-LV"/>
              </w:rPr>
              <w:t>sagatavot</w:t>
            </w:r>
            <w:r w:rsidRPr="004879EA">
              <w:rPr>
                <w:lang w:val="lv-LV"/>
              </w:rPr>
              <w:t xml:space="preserve"> un glabāt visas mērīšanas un kalibrēšanas metodes. </w:t>
            </w:r>
            <w:r w:rsidRPr="004879EA">
              <w:rPr>
                <w:lang w:val="lv-LV"/>
              </w:rPr>
              <w:t>S</w:t>
            </w:r>
            <w:r w:rsidRPr="004879EA">
              <w:rPr>
                <w:lang w:val="lv-LV"/>
              </w:rPr>
              <w:t xml:space="preserve">varīga ir spēja brīvi pārklāt ar DSC un ar TGA uzņemtās līknes </w:t>
            </w:r>
            <w:r w:rsidRPr="004879EA">
              <w:rPr>
                <w:lang w:val="lv-LV"/>
              </w:rPr>
              <w:t>precīzai</w:t>
            </w:r>
            <w:r w:rsidRPr="004879EA">
              <w:rPr>
                <w:lang w:val="lv-LV"/>
              </w:rPr>
              <w:t xml:space="preserve"> efektu interpretācijai, kā arī veikt šādu līkņu pilnvērtīgu </w:t>
            </w:r>
            <w:r>
              <w:rPr>
                <w:lang w:val="lv-LV"/>
              </w:rPr>
              <w:t>apstrādi;</w:t>
            </w:r>
          </w:p>
          <w:p w:rsidR="004879EA" w:rsidRDefault="004879EA" w:rsidP="004879EA">
            <w:pPr>
              <w:pStyle w:val="ListParagraph"/>
              <w:numPr>
                <w:ilvl w:val="0"/>
                <w:numId w:val="46"/>
              </w:numPr>
              <w:jc w:val="both"/>
              <w:rPr>
                <w:lang w:val="lv-LV"/>
              </w:rPr>
            </w:pPr>
            <w:r w:rsidRPr="004879EA">
              <w:rPr>
                <w:lang w:val="lv-LV"/>
              </w:rPr>
              <w:t xml:space="preserve">Pasūtītāja </w:t>
            </w:r>
            <w:r w:rsidRPr="004879EA">
              <w:rPr>
                <w:lang w:val="lv-LV"/>
              </w:rPr>
              <w:t xml:space="preserve">rīcībā ir </w:t>
            </w:r>
            <w:r w:rsidRPr="004879EA">
              <w:rPr>
                <w:lang w:val="lv-LV"/>
              </w:rPr>
              <w:t>esošo programmatūru</w:t>
            </w:r>
            <w:r w:rsidRPr="004879EA">
              <w:rPr>
                <w:lang w:val="lv-LV"/>
              </w:rPr>
              <w:t xml:space="preserve"> p</w:t>
            </w:r>
            <w:r w:rsidRPr="004879EA">
              <w:rPr>
                <w:lang w:val="lv-LV"/>
              </w:rPr>
              <w:t xml:space="preserve">apildus opcijas, kā, piemēram, </w:t>
            </w:r>
            <w:r w:rsidRPr="004879EA">
              <w:rPr>
                <w:lang w:val="lv-LV"/>
              </w:rPr>
              <w:t xml:space="preserve">daudz-frekvenču modulētās </w:t>
            </w:r>
            <w:r w:rsidRPr="004879EA">
              <w:rPr>
                <w:lang w:val="lv-LV"/>
              </w:rPr>
              <w:t>temperatūras programmatūra, kura tiks</w:t>
            </w:r>
            <w:r w:rsidRPr="004879EA">
              <w:rPr>
                <w:lang w:val="lv-LV"/>
              </w:rPr>
              <w:t xml:space="preserve"> izmantot</w:t>
            </w:r>
            <w:r w:rsidRPr="004879EA">
              <w:rPr>
                <w:lang w:val="lv-LV"/>
              </w:rPr>
              <w:t>a arī TGA iekārtā</w:t>
            </w:r>
            <w:r>
              <w:rPr>
                <w:lang w:val="lv-LV"/>
              </w:rPr>
              <w:t>;</w:t>
            </w:r>
          </w:p>
          <w:p w:rsidR="004879EA" w:rsidRPr="004879EA" w:rsidRDefault="004879EA" w:rsidP="004879EA">
            <w:pPr>
              <w:pStyle w:val="ListParagraph"/>
              <w:numPr>
                <w:ilvl w:val="0"/>
                <w:numId w:val="46"/>
              </w:numPr>
              <w:jc w:val="both"/>
              <w:rPr>
                <w:lang w:val="lv-LV"/>
              </w:rPr>
            </w:pPr>
            <w:r>
              <w:rPr>
                <w:lang w:val="lv-LV"/>
              </w:rPr>
              <w:t>Pasūtītāj neparedz iespēju aizstāt lietojamās programmatūras, kuras tika iegādātas atbilstoši Publisko iepirkumu likuma regul</w:t>
            </w:r>
            <w:r w:rsidR="00AB0DB6">
              <w:rPr>
                <w:lang w:val="lv-LV"/>
              </w:rPr>
              <w:t>ējumam, ar citām, tādējādi mainot laboratorijas pētījumu rezultātu iegūšanas, apstrādes un glabāšanas kārtību.</w:t>
            </w:r>
          </w:p>
          <w:p w:rsidR="003E1440" w:rsidRDefault="003E1440" w:rsidP="00CA4AC5">
            <w:pPr>
              <w:spacing w:line="276" w:lineRule="auto"/>
              <w:jc w:val="both"/>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5C24D5">
              <w:rPr>
                <w:sz w:val="22"/>
                <w:szCs w:val="22"/>
                <w:lang w:val="lv-LV"/>
              </w:rPr>
              <w:t xml:space="preserve"> Gramsts plkst. </w:t>
            </w:r>
            <w:r w:rsidR="008109F3">
              <w:rPr>
                <w:sz w:val="22"/>
                <w:szCs w:val="22"/>
                <w:lang w:val="lv-LV"/>
              </w:rPr>
              <w:t>1</w:t>
            </w:r>
            <w:r w:rsidR="00AB0DB6">
              <w:rPr>
                <w:sz w:val="22"/>
                <w:szCs w:val="22"/>
                <w:lang w:val="lv-LV"/>
              </w:rPr>
              <w:t>6</w:t>
            </w:r>
            <w:r w:rsidRPr="005400EE">
              <w:rPr>
                <w:sz w:val="22"/>
                <w:szCs w:val="22"/>
                <w:lang w:val="lv-LV"/>
              </w:rPr>
              <w:t>:</w:t>
            </w:r>
            <w:r w:rsidR="00AB0DB6">
              <w:rPr>
                <w:sz w:val="22"/>
                <w:szCs w:val="22"/>
                <w:lang w:val="lv-LV"/>
              </w:rPr>
              <w:t>2</w:t>
            </w:r>
            <w:r w:rsidR="008109F3">
              <w:rPr>
                <w:sz w:val="22"/>
                <w:szCs w:val="22"/>
                <w:lang w:val="lv-LV"/>
              </w:rPr>
              <w:t>5</w:t>
            </w:r>
            <w:r w:rsidRPr="005400EE">
              <w:rPr>
                <w:sz w:val="22"/>
                <w:szCs w:val="22"/>
                <w:lang w:val="lv-LV"/>
              </w:rPr>
              <w:t>.</w:t>
            </w:r>
          </w:p>
          <w:p w:rsidR="00F37E1E" w:rsidRDefault="00F37E1E" w:rsidP="00F00C85">
            <w:pPr>
              <w:keepNext/>
              <w:keepLines/>
              <w:rPr>
                <w:sz w:val="20"/>
                <w:szCs w:val="20"/>
                <w:u w:val="single"/>
                <w:lang w:val="lv-LV"/>
              </w:rPr>
            </w:pPr>
          </w:p>
          <w:p w:rsidR="002C2A04" w:rsidRPr="002C2A04" w:rsidRDefault="002C2A04" w:rsidP="002C2A04">
            <w:pPr>
              <w:keepNext/>
              <w:keepLines/>
              <w:rPr>
                <w:sz w:val="20"/>
                <w:szCs w:val="20"/>
                <w:lang w:val="lv-LV"/>
              </w:rPr>
            </w:pPr>
          </w:p>
          <w:p w:rsidR="00F00C85" w:rsidRPr="005400EE" w:rsidRDefault="00F00C85" w:rsidP="00F00C85">
            <w:pPr>
              <w:keepNext/>
              <w:keepLines/>
              <w:rPr>
                <w:sz w:val="20"/>
                <w:szCs w:val="20"/>
                <w:lang w:val="lv-LV"/>
              </w:rPr>
            </w:pPr>
          </w:p>
          <w:p w:rsidR="008109F3" w:rsidRPr="008109F3" w:rsidRDefault="008109F3" w:rsidP="008109F3">
            <w:pPr>
              <w:rPr>
                <w:sz w:val="22"/>
                <w:szCs w:val="22"/>
                <w:lang w:val="lv-LV"/>
              </w:rPr>
            </w:pPr>
            <w:r w:rsidRPr="008109F3">
              <w:rPr>
                <w:sz w:val="22"/>
                <w:szCs w:val="22"/>
                <w:lang w:val="lv-LV"/>
              </w:rPr>
              <w:t xml:space="preserve">Komisijas priekšsēdētājs                                            </w:t>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p>
          <w:p w:rsidR="008109F3" w:rsidRPr="008109F3" w:rsidRDefault="008109F3" w:rsidP="008109F3">
            <w:pPr>
              <w:jc w:val="center"/>
              <w:rPr>
                <w:sz w:val="22"/>
                <w:szCs w:val="22"/>
                <w:lang w:val="lv-LV"/>
              </w:rPr>
            </w:pPr>
            <w:r w:rsidRPr="008109F3">
              <w:rPr>
                <w:sz w:val="22"/>
                <w:szCs w:val="22"/>
                <w:lang w:val="lv-LV"/>
              </w:rPr>
              <w:t xml:space="preserve">                                                                                                                                      J. Gramsts</w:t>
            </w:r>
          </w:p>
          <w:p w:rsidR="008109F3" w:rsidRDefault="008109F3" w:rsidP="008109F3">
            <w:pPr>
              <w:rPr>
                <w:sz w:val="22"/>
                <w:szCs w:val="22"/>
                <w:lang w:val="lv-LV"/>
              </w:rPr>
            </w:pPr>
          </w:p>
          <w:p w:rsidR="008109F3" w:rsidRPr="008109F3" w:rsidRDefault="008109F3" w:rsidP="008109F3">
            <w:pPr>
              <w:rPr>
                <w:sz w:val="22"/>
                <w:szCs w:val="22"/>
                <w:lang w:val="lv-LV"/>
              </w:rPr>
            </w:pPr>
          </w:p>
          <w:p w:rsidR="008109F3" w:rsidRPr="008109F3" w:rsidRDefault="008109F3" w:rsidP="008109F3">
            <w:pPr>
              <w:rPr>
                <w:sz w:val="22"/>
                <w:szCs w:val="22"/>
                <w:lang w:val="lv-LV"/>
              </w:rPr>
            </w:pPr>
            <w:r w:rsidRPr="008109F3">
              <w:rPr>
                <w:sz w:val="22"/>
                <w:szCs w:val="22"/>
                <w:lang w:val="lv-LV"/>
              </w:rPr>
              <w:t>Komisijas locekļi:</w:t>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t xml:space="preserve">         </w:t>
            </w:r>
            <w:r>
              <w:rPr>
                <w:sz w:val="22"/>
                <w:szCs w:val="22"/>
                <w:lang w:val="lv-LV"/>
              </w:rPr>
              <w:t xml:space="preserve">        </w:t>
            </w:r>
            <w:r w:rsidRPr="008109F3">
              <w:rPr>
                <w:sz w:val="22"/>
                <w:szCs w:val="22"/>
                <w:lang w:val="lv-LV"/>
              </w:rPr>
              <w:t xml:space="preserve"> </w:t>
            </w:r>
            <w:r w:rsidR="00AB0DB6">
              <w:rPr>
                <w:sz w:val="22"/>
                <w:szCs w:val="22"/>
                <w:lang w:val="lv-LV"/>
              </w:rPr>
              <w:t>M. Dzenis</w:t>
            </w:r>
          </w:p>
          <w:p w:rsidR="008109F3" w:rsidRDefault="008109F3" w:rsidP="008109F3">
            <w:pPr>
              <w:rPr>
                <w:sz w:val="22"/>
                <w:szCs w:val="22"/>
                <w:lang w:val="lv-LV"/>
              </w:rPr>
            </w:pPr>
            <w:r w:rsidRPr="008109F3">
              <w:rPr>
                <w:sz w:val="22"/>
                <w:szCs w:val="22"/>
                <w:lang w:val="lv-LV"/>
              </w:rPr>
              <w:t xml:space="preserve">                                                                                                                             </w:t>
            </w:r>
          </w:p>
          <w:p w:rsidR="008109F3" w:rsidRPr="008109F3" w:rsidRDefault="008109F3" w:rsidP="008109F3">
            <w:pPr>
              <w:rPr>
                <w:sz w:val="22"/>
                <w:szCs w:val="22"/>
                <w:lang w:val="lv-LV"/>
              </w:rPr>
            </w:pPr>
          </w:p>
          <w:p w:rsidR="008109F3" w:rsidRPr="008109F3" w:rsidRDefault="008109F3" w:rsidP="008109F3">
            <w:pPr>
              <w:rPr>
                <w:sz w:val="22"/>
                <w:szCs w:val="22"/>
                <w:lang w:val="lv-LV"/>
              </w:rPr>
            </w:pPr>
            <w:r w:rsidRPr="008109F3">
              <w:rPr>
                <w:sz w:val="22"/>
                <w:szCs w:val="22"/>
                <w:lang w:val="lv-LV"/>
              </w:rPr>
              <w:t xml:space="preserve">                                                                                                                                            </w:t>
            </w:r>
            <w:r>
              <w:rPr>
                <w:sz w:val="22"/>
                <w:szCs w:val="22"/>
                <w:lang w:val="lv-LV"/>
              </w:rPr>
              <w:t xml:space="preserve">       </w:t>
            </w:r>
            <w:r w:rsidRPr="008109F3">
              <w:rPr>
                <w:sz w:val="22"/>
                <w:szCs w:val="22"/>
                <w:lang w:val="lv-LV"/>
              </w:rPr>
              <w:t xml:space="preserve"> </w:t>
            </w:r>
            <w:r w:rsidR="00D00D2E">
              <w:rPr>
                <w:sz w:val="22"/>
                <w:szCs w:val="22"/>
                <w:lang w:val="lv-LV"/>
              </w:rPr>
              <w:t xml:space="preserve"> </w:t>
            </w:r>
            <w:r w:rsidRPr="008109F3">
              <w:rPr>
                <w:sz w:val="22"/>
                <w:szCs w:val="22"/>
                <w:lang w:val="lv-LV"/>
              </w:rPr>
              <w:t>Z. Circāne</w:t>
            </w: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AB0DB6">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C6A10"/>
    <w:multiLevelType w:val="hybridMultilevel"/>
    <w:tmpl w:val="DA941D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2"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9F168D9"/>
    <w:multiLevelType w:val="hybridMultilevel"/>
    <w:tmpl w:val="F81E63F2"/>
    <w:lvl w:ilvl="0" w:tplc="0426000F">
      <w:start w:val="1"/>
      <w:numFmt w:val="decimal"/>
      <w:lvlText w:val="%1."/>
      <w:lvlJc w:val="left"/>
      <w:pPr>
        <w:ind w:left="1080" w:hanging="360"/>
      </w:pPr>
      <w:rPr>
        <w:rFonts w:hint="default"/>
      </w:rPr>
    </w:lvl>
    <w:lvl w:ilvl="1" w:tplc="B99E7A44">
      <w:start w:val="1"/>
      <w:numFmt w:val="decimal"/>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E67282"/>
    <w:multiLevelType w:val="hybridMultilevel"/>
    <w:tmpl w:val="F81E63F2"/>
    <w:lvl w:ilvl="0" w:tplc="0426000F">
      <w:start w:val="1"/>
      <w:numFmt w:val="decimal"/>
      <w:lvlText w:val="%1."/>
      <w:lvlJc w:val="left"/>
      <w:pPr>
        <w:ind w:left="1080" w:hanging="360"/>
      </w:pPr>
      <w:rPr>
        <w:rFonts w:hint="default"/>
      </w:rPr>
    </w:lvl>
    <w:lvl w:ilvl="1" w:tplc="B99E7A44">
      <w:start w:val="1"/>
      <w:numFmt w:val="decimal"/>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4144E8B"/>
    <w:multiLevelType w:val="hybridMultilevel"/>
    <w:tmpl w:val="A2A88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0"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8"/>
  </w:num>
  <w:num w:numId="2">
    <w:abstractNumId w:val="35"/>
  </w:num>
  <w:num w:numId="3">
    <w:abstractNumId w:val="2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6"/>
  </w:num>
  <w:num w:numId="7">
    <w:abstractNumId w:val="23"/>
  </w:num>
  <w:num w:numId="8">
    <w:abstractNumId w:val="41"/>
  </w:num>
  <w:num w:numId="9">
    <w:abstractNumId w:val="13"/>
  </w:num>
  <w:num w:numId="10">
    <w:abstractNumId w:val="37"/>
  </w:num>
  <w:num w:numId="11">
    <w:abstractNumId w:val="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3"/>
  </w:num>
  <w:num w:numId="16">
    <w:abstractNumId w:val="11"/>
  </w:num>
  <w:num w:numId="17">
    <w:abstractNumId w:val="30"/>
  </w:num>
  <w:num w:numId="18">
    <w:abstractNumId w:val="16"/>
  </w:num>
  <w:num w:numId="19">
    <w:abstractNumId w:val="12"/>
  </w:num>
  <w:num w:numId="20">
    <w:abstractNumId w:val="24"/>
  </w:num>
  <w:num w:numId="21">
    <w:abstractNumId w:val="40"/>
  </w:num>
  <w:num w:numId="22">
    <w:abstractNumId w:val="34"/>
  </w:num>
  <w:num w:numId="23">
    <w:abstractNumId w:val="18"/>
  </w:num>
  <w:num w:numId="24">
    <w:abstractNumId w:val="20"/>
  </w:num>
  <w:num w:numId="25">
    <w:abstractNumId w:val="6"/>
  </w:num>
  <w:num w:numId="26">
    <w:abstractNumId w:val="2"/>
  </w:num>
  <w:num w:numId="27">
    <w:abstractNumId w:val="10"/>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9"/>
  </w:num>
  <w:num w:numId="33">
    <w:abstractNumId w:val="3"/>
  </w:num>
  <w:num w:numId="34">
    <w:abstractNumId w:val="21"/>
  </w:num>
  <w:num w:numId="35">
    <w:abstractNumId w:val="38"/>
  </w:num>
  <w:num w:numId="36">
    <w:abstractNumId w:val="39"/>
  </w:num>
  <w:num w:numId="37">
    <w:abstractNumId w:val="5"/>
  </w:num>
  <w:num w:numId="38">
    <w:abstractNumId w:val="45"/>
  </w:num>
  <w:num w:numId="39">
    <w:abstractNumId w:val="27"/>
  </w:num>
  <w:num w:numId="40">
    <w:abstractNumId w:val="19"/>
  </w:num>
  <w:num w:numId="41">
    <w:abstractNumId w:val="14"/>
  </w:num>
  <w:num w:numId="42">
    <w:abstractNumId w:val="7"/>
  </w:num>
  <w:num w:numId="43">
    <w:abstractNumId w:val="4"/>
  </w:num>
  <w:num w:numId="44">
    <w:abstractNumId w:val="31"/>
  </w:num>
  <w:num w:numId="45">
    <w:abstractNumId w:val="2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A04"/>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440"/>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9EA"/>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4A05"/>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E4C"/>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24D5"/>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09F3"/>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299F"/>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57F"/>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0DB6"/>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60C"/>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310"/>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0D2E"/>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94"/>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CC6B"/>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 w:type="table" w:customStyle="1" w:styleId="TableGrid1">
    <w:name w:val="Table Grid1"/>
    <w:basedOn w:val="TableNormal"/>
    <w:next w:val="TableGrid"/>
    <w:uiPriority w:val="59"/>
    <w:rsid w:val="0092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894395061">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2018-03-21T08:24:00Z</dcterms:created>
  <dcterms:modified xsi:type="dcterms:W3CDTF">2018-03-21T08:24:00Z</dcterms:modified>
</cp:coreProperties>
</file>