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13.06.2017.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Atbildes uz jautājumiem Nr.1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F15274" w:rsidRPr="00F559D7" w:rsidRDefault="00BD5AF9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Atklāta</w:t>
      </w:r>
      <w:r w:rsidR="00F15274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konkursa</w:t>
      </w:r>
      <w:r w:rsidR="00F15274"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Pr="00BD5AF9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Ēkas Ķīpsalas iela 6B, Rīgā, pārbūve, paaugstinot ēkas energoefektivitāti un izmantojot videi draudzīgus celtniecības materiālus un izstrādājumus, RTU Inženierzinātņu un viedo tehnoloģiju centra vajadzībām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RTU-2017/50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potenciālā 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jautājumus par</w:t>
      </w:r>
      <w:r w:rsidR="00F15274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konkursa nolikumu un sniedz šādas atbildes:</w:t>
      </w:r>
    </w:p>
    <w:p w:rsidR="00F15274" w:rsidRPr="00F559D7" w:rsidRDefault="00F15274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BD5AF9" w:rsidRPr="00BD5AF9" w:rsidRDefault="00F15274" w:rsidP="00BD5AF9">
      <w:pPr>
        <w:spacing w:line="36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 Jautājums.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 w:rsidR="00BD5AF9" w:rsidRPr="00BD5AF9">
        <w:rPr>
          <w:rFonts w:ascii="Times New Roman" w:hAnsi="Times New Roman"/>
          <w:sz w:val="24"/>
          <w:szCs w:val="24"/>
        </w:rPr>
        <w:t>Nolikuma punktā Nr. 4.2.8. (pretendenta pieredze), 4.2.9. (būvdarbu vadītāja pieredze) un 4.2.10. (projektu vadītāja pieredze) ir teikts, ka ….”</w:t>
      </w:r>
      <w:r w:rsidR="00BD5AF9" w:rsidRPr="00BD5AF9">
        <w:rPr>
          <w:rFonts w:ascii="Times New Roman" w:hAnsi="Times New Roman"/>
          <w:i/>
          <w:iCs/>
          <w:sz w:val="24"/>
          <w:szCs w:val="24"/>
        </w:rPr>
        <w:t>vismaz 2 (divās) Publiskajās būvēs, kur kopējā platība m2, kurā veikti būvdarbi (būvdarbu platība) Publiskām būvēm (katrai) ir vismaz 6000 m2”.</w:t>
      </w:r>
    </w:p>
    <w:p w:rsidR="00FA5AA6" w:rsidRPr="00FA5AA6" w:rsidRDefault="00BD5AF9" w:rsidP="00BD5A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5AF9">
        <w:rPr>
          <w:rFonts w:ascii="Times New Roman" w:hAnsi="Times New Roman"/>
          <w:sz w:val="24"/>
          <w:szCs w:val="24"/>
        </w:rPr>
        <w:t>Lūdzu precizēt nolikuma punktu redakciju, jo šajā brīdi nolikuma prasība nav viennozīmīga un interpretējama, tas ir, nav skaidrs kam ir definētas minimālās prasības (ēkas platībai vai veikto būvdarbu platībai)</w:t>
      </w:r>
      <w:r w:rsidR="00FA5AA6" w:rsidRPr="00FA5AA6">
        <w:rPr>
          <w:rFonts w:ascii="Times New Roman" w:hAnsi="Times New Roman"/>
          <w:sz w:val="24"/>
          <w:szCs w:val="24"/>
        </w:rPr>
        <w:t xml:space="preserve">. </w:t>
      </w:r>
    </w:p>
    <w:p w:rsidR="00F15274" w:rsidRPr="00FA5AA6" w:rsidRDefault="00F15274" w:rsidP="00FA5AA6">
      <w:pPr>
        <w:jc w:val="both"/>
        <w:rPr>
          <w:rFonts w:ascii="Times New Roman" w:hAnsi="Times New Roman"/>
          <w:color w:val="262626"/>
          <w:sz w:val="24"/>
          <w:szCs w:val="24"/>
          <w:lang w:eastAsia="lv-LV"/>
        </w:rPr>
      </w:pPr>
    </w:p>
    <w:p w:rsidR="00FA5AA6" w:rsidRDefault="00F52573" w:rsidP="00F5257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573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F15274" w:rsidRPr="00F52573">
        <w:rPr>
          <w:rFonts w:ascii="Times New Roman" w:hAnsi="Times New Roman"/>
          <w:b/>
          <w:sz w:val="24"/>
          <w:szCs w:val="24"/>
          <w:u w:val="single"/>
        </w:rPr>
        <w:t>Atbilde</w:t>
      </w:r>
      <w:r w:rsidR="00F15274" w:rsidRPr="006D24B6">
        <w:rPr>
          <w:rFonts w:ascii="Times New Roman" w:hAnsi="Times New Roman"/>
          <w:b/>
          <w:sz w:val="24"/>
          <w:szCs w:val="24"/>
          <w:u w:val="single"/>
        </w:rPr>
        <w:t>.</w:t>
      </w:r>
      <w:r w:rsidR="00F15274" w:rsidRPr="006D24B6">
        <w:rPr>
          <w:rFonts w:ascii="Times New Roman" w:hAnsi="Times New Roman"/>
          <w:b/>
          <w:sz w:val="24"/>
          <w:szCs w:val="24"/>
        </w:rPr>
        <w:t xml:space="preserve"> </w:t>
      </w:r>
      <w:r w:rsidRPr="006D24B6">
        <w:rPr>
          <w:rFonts w:ascii="Times New Roman" w:hAnsi="Times New Roman"/>
          <w:b/>
          <w:sz w:val="24"/>
          <w:szCs w:val="24"/>
        </w:rPr>
        <w:t xml:space="preserve">Konkursa nolikuma </w:t>
      </w:r>
      <w:r w:rsidR="00BD5AF9">
        <w:rPr>
          <w:rFonts w:ascii="Times New Roman" w:hAnsi="Times New Roman"/>
          <w:b/>
          <w:sz w:val="24"/>
          <w:szCs w:val="24"/>
        </w:rPr>
        <w:t xml:space="preserve">4.2.8., </w:t>
      </w:r>
      <w:r w:rsidRPr="006D24B6">
        <w:rPr>
          <w:rFonts w:ascii="Times New Roman" w:hAnsi="Times New Roman"/>
          <w:b/>
          <w:sz w:val="24"/>
          <w:szCs w:val="24"/>
        </w:rPr>
        <w:t>4.2.9.</w:t>
      </w:r>
      <w:r w:rsidR="00BD5AF9">
        <w:rPr>
          <w:rFonts w:ascii="Times New Roman" w:hAnsi="Times New Roman"/>
          <w:b/>
          <w:sz w:val="24"/>
          <w:szCs w:val="24"/>
        </w:rPr>
        <w:t xml:space="preserve"> un 4.2.10. punktā </w:t>
      </w:r>
      <w:r w:rsidR="0004657A">
        <w:rPr>
          <w:rFonts w:ascii="Times New Roman" w:hAnsi="Times New Roman"/>
          <w:b/>
          <w:sz w:val="24"/>
          <w:szCs w:val="24"/>
        </w:rPr>
        <w:t>iekļautā prasība</w:t>
      </w:r>
      <w:r w:rsidR="00BD5AF9">
        <w:rPr>
          <w:rFonts w:ascii="Times New Roman" w:hAnsi="Times New Roman"/>
          <w:b/>
          <w:sz w:val="24"/>
          <w:szCs w:val="24"/>
        </w:rPr>
        <w:t xml:space="preserve"> </w:t>
      </w:r>
      <w:r w:rsidRPr="006D24B6">
        <w:rPr>
          <w:rFonts w:ascii="Times New Roman" w:hAnsi="Times New Roman"/>
          <w:b/>
          <w:sz w:val="24"/>
          <w:szCs w:val="24"/>
        </w:rPr>
        <w:t xml:space="preserve"> </w:t>
      </w:r>
      <w:r w:rsidR="0004657A">
        <w:rPr>
          <w:rFonts w:ascii="Times New Roman" w:hAnsi="Times New Roman"/>
          <w:b/>
          <w:sz w:val="24"/>
          <w:szCs w:val="24"/>
        </w:rPr>
        <w:t>“</w:t>
      </w:r>
      <w:r w:rsidR="0004657A" w:rsidRPr="0004657A">
        <w:rPr>
          <w:rFonts w:ascii="Times New Roman" w:hAnsi="Times New Roman"/>
          <w:b/>
          <w:i/>
          <w:sz w:val="24"/>
          <w:szCs w:val="24"/>
        </w:rPr>
        <w:t>kur kopējā platība m</w:t>
      </w:r>
      <w:r w:rsidR="0004657A" w:rsidRPr="0004657A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04657A" w:rsidRPr="0004657A">
        <w:rPr>
          <w:rFonts w:ascii="Times New Roman" w:hAnsi="Times New Roman"/>
          <w:b/>
          <w:i/>
          <w:sz w:val="24"/>
          <w:szCs w:val="24"/>
        </w:rPr>
        <w:t>, kurā veikti būvdarbi (būvdarbu platība) Publiskām būvēm (katrai) ir vismaz 6000 m</w:t>
      </w:r>
      <w:r w:rsidR="0004657A" w:rsidRPr="0004657A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04657A">
        <w:rPr>
          <w:rFonts w:ascii="Times New Roman" w:hAnsi="Times New Roman"/>
          <w:b/>
          <w:sz w:val="24"/>
          <w:szCs w:val="24"/>
        </w:rPr>
        <w:t xml:space="preserve">” </w:t>
      </w:r>
      <w:r w:rsidR="009141F5">
        <w:rPr>
          <w:rFonts w:ascii="Times New Roman" w:hAnsi="Times New Roman"/>
          <w:b/>
          <w:sz w:val="24"/>
          <w:szCs w:val="24"/>
        </w:rPr>
        <w:t xml:space="preserve">ir attiecināma uz publiskas būves būvdarbu platību un </w:t>
      </w:r>
      <w:r w:rsidR="0004657A">
        <w:rPr>
          <w:rFonts w:ascii="Times New Roman" w:hAnsi="Times New Roman"/>
          <w:b/>
          <w:sz w:val="24"/>
          <w:szCs w:val="24"/>
        </w:rPr>
        <w:t xml:space="preserve">nozīmē, ka attiecīgi pretendentam vai </w:t>
      </w:r>
      <w:proofErr w:type="spellStart"/>
      <w:r w:rsidR="0004657A">
        <w:rPr>
          <w:rFonts w:ascii="Times New Roman" w:hAnsi="Times New Roman"/>
          <w:b/>
          <w:sz w:val="24"/>
          <w:szCs w:val="24"/>
        </w:rPr>
        <w:t>būvspeciālistam</w:t>
      </w:r>
      <w:proofErr w:type="spellEnd"/>
      <w:r w:rsidR="0004657A">
        <w:rPr>
          <w:rFonts w:ascii="Times New Roman" w:hAnsi="Times New Roman"/>
          <w:b/>
          <w:sz w:val="24"/>
          <w:szCs w:val="24"/>
        </w:rPr>
        <w:t xml:space="preserve"> ir jābūt atbilstošai pieredzei publiskajā būvē vai publiskajās būvēs (saskaņā ar nolikumu), kurā ir veikti būvdarbi vismaz 6000 m</w:t>
      </w:r>
      <w:r w:rsidR="0004657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04657A">
        <w:rPr>
          <w:rFonts w:ascii="Times New Roman" w:hAnsi="Times New Roman"/>
          <w:b/>
          <w:sz w:val="24"/>
          <w:szCs w:val="24"/>
        </w:rPr>
        <w:t xml:space="preserve"> platībā (katrai, ja piemērojams). </w:t>
      </w:r>
    </w:p>
    <w:p w:rsidR="0004657A" w:rsidRDefault="0004657A" w:rsidP="00F5257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Tādējādi, lai noteiktu atbilstību konkursa nolikuma 4.punktā iekļautajām kvalifikācijas prasībām, komisija </w:t>
      </w:r>
      <w:r w:rsidRPr="00DE0F57">
        <w:rPr>
          <w:rFonts w:ascii="Times New Roman" w:hAnsi="Times New Roman"/>
          <w:b/>
          <w:color w:val="FF0000"/>
          <w:sz w:val="24"/>
          <w:szCs w:val="24"/>
          <w:u w:val="single"/>
        </w:rPr>
        <w:t>nevērtēs</w:t>
      </w:r>
      <w:r>
        <w:rPr>
          <w:rFonts w:ascii="Times New Roman" w:hAnsi="Times New Roman"/>
          <w:b/>
          <w:sz w:val="24"/>
          <w:szCs w:val="24"/>
        </w:rPr>
        <w:t xml:space="preserve"> kopējo publiskas būves platību, bet </w:t>
      </w:r>
      <w:r w:rsidR="00DE0F57">
        <w:rPr>
          <w:rFonts w:ascii="Times New Roman" w:hAnsi="Times New Roman"/>
          <w:b/>
          <w:sz w:val="24"/>
          <w:szCs w:val="24"/>
        </w:rPr>
        <w:t xml:space="preserve">vērtēs </w:t>
      </w:r>
      <w:r w:rsidR="009141F5">
        <w:rPr>
          <w:rFonts w:ascii="Times New Roman" w:hAnsi="Times New Roman"/>
          <w:b/>
          <w:sz w:val="24"/>
          <w:szCs w:val="24"/>
        </w:rPr>
        <w:t xml:space="preserve">publiskas būves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būvdarbu platību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DE0F57">
        <w:rPr>
          <w:rFonts w:ascii="Times New Roman" w:hAnsi="Times New Roman"/>
          <w:b/>
          <w:sz w:val="24"/>
          <w:szCs w:val="24"/>
        </w:rPr>
        <w:t xml:space="preserve"> </w:t>
      </w:r>
    </w:p>
    <w:p w:rsidR="00DE0F57" w:rsidRPr="0004657A" w:rsidRDefault="00DE0F57" w:rsidP="00F5257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Papildus komisija norāda, ka, lai izpildītu konkursa nolikuma 4.2.8., 4.2.9. un 4.2.10. punktu prasības, pretendents </w:t>
      </w:r>
      <w:r w:rsidRPr="00DE0F57">
        <w:rPr>
          <w:rFonts w:ascii="Times New Roman" w:hAnsi="Times New Roman"/>
          <w:b/>
          <w:color w:val="FF0000"/>
          <w:sz w:val="24"/>
          <w:szCs w:val="24"/>
          <w:u w:val="single"/>
        </w:rPr>
        <w:t>nav tiesīgs</w:t>
      </w:r>
      <w:r w:rsidRPr="00DE0F5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skaitīt kopā viena realizētā būvdarbu projekta (līguma, objekta) ietvaros </w:t>
      </w:r>
      <w:r w:rsidRPr="00DE0F57">
        <w:rPr>
          <w:rFonts w:ascii="Times New Roman" w:hAnsi="Times New Roman"/>
          <w:b/>
          <w:bCs/>
          <w:sz w:val="24"/>
          <w:szCs w:val="24"/>
        </w:rPr>
        <w:t xml:space="preserve">vairāku atsevišķu patstāvīgu ēku </w:t>
      </w:r>
      <w:r>
        <w:rPr>
          <w:rFonts w:ascii="Times New Roman" w:hAnsi="Times New Roman"/>
          <w:b/>
          <w:sz w:val="24"/>
          <w:szCs w:val="24"/>
        </w:rPr>
        <w:t>būvdarbu platības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5AA6" w:rsidRDefault="00FA5AA6" w:rsidP="00F15274">
      <w:pPr>
        <w:jc w:val="both"/>
        <w:rPr>
          <w:rFonts w:ascii="Times New Roman" w:hAnsi="Times New Roman"/>
          <w:b/>
          <w:color w:val="262626"/>
          <w:sz w:val="24"/>
          <w:szCs w:val="24"/>
          <w:lang w:eastAsia="lv-LV"/>
        </w:rPr>
      </w:pPr>
    </w:p>
    <w:p w:rsidR="00F171A3" w:rsidRPr="00F171A3" w:rsidRDefault="00F171A3" w:rsidP="006D24B6">
      <w:pPr>
        <w:spacing w:line="360" w:lineRule="auto"/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5D3AE5" w:rsidRPr="00F171A3" w:rsidRDefault="005D3AE5">
      <w:pPr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sectPr w:rsidR="005D3AE5" w:rsidRPr="00F17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4657A"/>
    <w:rsid w:val="005D3AE5"/>
    <w:rsid w:val="00695C87"/>
    <w:rsid w:val="006D24B6"/>
    <w:rsid w:val="008B60EA"/>
    <w:rsid w:val="009141F5"/>
    <w:rsid w:val="00A2653E"/>
    <w:rsid w:val="00B77F33"/>
    <w:rsid w:val="00BD5AF9"/>
    <w:rsid w:val="00DE0F57"/>
    <w:rsid w:val="00F15274"/>
    <w:rsid w:val="00F171A3"/>
    <w:rsid w:val="00F52573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EDA01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2</cp:revision>
  <dcterms:created xsi:type="dcterms:W3CDTF">2017-06-13T08:31:00Z</dcterms:created>
  <dcterms:modified xsi:type="dcterms:W3CDTF">2017-06-13T08:31:00Z</dcterms:modified>
</cp:coreProperties>
</file>