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40A" w:rsidRDefault="00B9440A" w:rsidP="00B9440A">
      <w:pPr>
        <w:ind w:right="-170"/>
        <w:jc w:val="center"/>
        <w:rPr>
          <w:sz w:val="22"/>
          <w:szCs w:val="22"/>
          <w:lang w:val="lv-LV"/>
        </w:rPr>
      </w:pPr>
      <w:r>
        <w:rPr>
          <w:sz w:val="22"/>
          <w:szCs w:val="22"/>
          <w:lang w:val="lv-LV"/>
        </w:rPr>
        <w:t xml:space="preserve">Iepirkuma procedūras </w:t>
      </w:r>
    </w:p>
    <w:p w:rsidR="00B9440A" w:rsidRDefault="00B9440A" w:rsidP="00B9440A">
      <w:pPr>
        <w:jc w:val="center"/>
        <w:rPr>
          <w:b/>
          <w:bCs/>
          <w:lang w:val="lv-LV"/>
        </w:rPr>
      </w:pPr>
      <w:r w:rsidRPr="0034172C">
        <w:rPr>
          <w:b/>
          <w:bCs/>
          <w:lang w:val="lv-LV"/>
        </w:rPr>
        <w:t>“</w:t>
      </w:r>
      <w:r w:rsidR="00172C84" w:rsidRPr="00172C84">
        <w:rPr>
          <w:b/>
          <w:bCs/>
          <w:lang w:val="lv-LV"/>
        </w:rPr>
        <w:t>Tehniskās apsardzes pakalpojuma nodrošināšana RTU objektos</w:t>
      </w:r>
      <w:r w:rsidRPr="0034172C">
        <w:rPr>
          <w:b/>
          <w:bCs/>
          <w:lang w:val="lv-LV"/>
        </w:rPr>
        <w:t>"</w:t>
      </w:r>
    </w:p>
    <w:p w:rsidR="00B9440A" w:rsidRDefault="00172C84" w:rsidP="00B9440A">
      <w:pPr>
        <w:jc w:val="center"/>
        <w:rPr>
          <w:sz w:val="22"/>
          <w:szCs w:val="22"/>
          <w:lang w:val="lv-LV"/>
        </w:rPr>
      </w:pPr>
      <w:r>
        <w:rPr>
          <w:sz w:val="22"/>
          <w:szCs w:val="22"/>
          <w:lang w:val="lv-LV"/>
        </w:rPr>
        <w:t xml:space="preserve"> (identifikācijas Nr. RTU – 2017/25</w:t>
      </w:r>
      <w:r w:rsidR="00B9440A">
        <w:rPr>
          <w:sz w:val="22"/>
          <w:szCs w:val="22"/>
          <w:lang w:val="lv-LV"/>
        </w:rPr>
        <w:t>)</w:t>
      </w:r>
    </w:p>
    <w:p w:rsidR="00B9440A" w:rsidRDefault="00B9440A" w:rsidP="00B9440A">
      <w:pPr>
        <w:jc w:val="center"/>
        <w:rPr>
          <w:b/>
          <w:sz w:val="22"/>
          <w:szCs w:val="22"/>
          <w:lang w:val="lv-LV"/>
        </w:rPr>
      </w:pPr>
    </w:p>
    <w:p w:rsidR="00B9440A" w:rsidRDefault="00172C84" w:rsidP="00B9440A">
      <w:pPr>
        <w:jc w:val="center"/>
        <w:rPr>
          <w:sz w:val="22"/>
          <w:szCs w:val="22"/>
          <w:lang w:val="lv-LV"/>
        </w:rPr>
      </w:pPr>
      <w:r>
        <w:rPr>
          <w:sz w:val="22"/>
          <w:szCs w:val="22"/>
          <w:lang w:val="lv-LV"/>
        </w:rPr>
        <w:t>Protokols Nr.2</w:t>
      </w:r>
    </w:p>
    <w:p w:rsidR="00B9440A" w:rsidRDefault="00B9440A" w:rsidP="00B9440A">
      <w:pPr>
        <w:jc w:val="center"/>
        <w:rPr>
          <w:sz w:val="22"/>
          <w:szCs w:val="22"/>
          <w:lang w:val="lv-LV"/>
        </w:rPr>
      </w:pPr>
    </w:p>
    <w:p w:rsidR="00B9440A" w:rsidRDefault="00B9440A" w:rsidP="00B9440A">
      <w:pPr>
        <w:rPr>
          <w:sz w:val="22"/>
          <w:szCs w:val="22"/>
          <w:lang w:val="lv-LV"/>
        </w:rPr>
      </w:pPr>
    </w:p>
    <w:p w:rsidR="00B9440A" w:rsidRDefault="00B9440A" w:rsidP="00B9440A">
      <w:pPr>
        <w:rPr>
          <w:sz w:val="22"/>
          <w:szCs w:val="22"/>
          <w:lang w:val="lv-LV"/>
        </w:rPr>
      </w:pPr>
      <w:r>
        <w:rPr>
          <w:sz w:val="22"/>
          <w:szCs w:val="22"/>
          <w:lang w:val="lv-LV"/>
        </w:rPr>
        <w:t xml:space="preserve"> Rīgā, Kaļķ</w:t>
      </w:r>
      <w:r w:rsidR="00172C84">
        <w:rPr>
          <w:sz w:val="22"/>
          <w:szCs w:val="22"/>
          <w:lang w:val="lv-LV"/>
        </w:rPr>
        <w:t>u ielā 1 – 322. telpā, plkst. 09</w:t>
      </w:r>
      <w:r>
        <w:rPr>
          <w:sz w:val="22"/>
          <w:szCs w:val="22"/>
          <w:lang w:val="lv-LV"/>
        </w:rPr>
        <w:t xml:space="preserve">:00                                                           </w:t>
      </w:r>
      <w:r w:rsidR="00172C84">
        <w:rPr>
          <w:sz w:val="22"/>
          <w:szCs w:val="22"/>
          <w:lang w:val="lv-LV"/>
        </w:rPr>
        <w:t xml:space="preserve">                              28.03.2017</w:t>
      </w:r>
      <w:r>
        <w:rPr>
          <w:sz w:val="22"/>
          <w:szCs w:val="22"/>
          <w:lang w:val="lv-LV"/>
        </w:rPr>
        <w:t>.</w:t>
      </w:r>
    </w:p>
    <w:p w:rsidR="00B9440A" w:rsidRDefault="00B9440A" w:rsidP="00B9440A">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B9440A" w:rsidRPr="000C5D9D" w:rsidTr="001148AF">
        <w:tc>
          <w:tcPr>
            <w:tcW w:w="3085" w:type="dxa"/>
          </w:tcPr>
          <w:p w:rsidR="00B9440A" w:rsidRPr="000C5D9D" w:rsidRDefault="00B9440A" w:rsidP="001148AF">
            <w:pPr>
              <w:tabs>
                <w:tab w:val="left" w:pos="9575"/>
              </w:tabs>
              <w:spacing w:before="120"/>
              <w:jc w:val="both"/>
              <w:rPr>
                <w:b/>
                <w:sz w:val="22"/>
                <w:szCs w:val="22"/>
              </w:rPr>
            </w:pPr>
            <w:r w:rsidRPr="000C5D9D">
              <w:rPr>
                <w:b/>
                <w:sz w:val="22"/>
                <w:szCs w:val="22"/>
              </w:rPr>
              <w:t>Komisijas priekšsēdētājs:</w:t>
            </w:r>
          </w:p>
        </w:tc>
        <w:tc>
          <w:tcPr>
            <w:tcW w:w="6379" w:type="dxa"/>
          </w:tcPr>
          <w:p w:rsidR="00B9440A" w:rsidRPr="000C5D9D" w:rsidRDefault="00B9440A" w:rsidP="001148AF">
            <w:pPr>
              <w:tabs>
                <w:tab w:val="left" w:pos="397"/>
                <w:tab w:val="left" w:pos="9000"/>
                <w:tab w:val="left" w:pos="9575"/>
              </w:tabs>
              <w:spacing w:before="120"/>
              <w:jc w:val="both"/>
              <w:rPr>
                <w:b/>
                <w:sz w:val="22"/>
                <w:szCs w:val="22"/>
              </w:rPr>
            </w:pPr>
          </w:p>
        </w:tc>
      </w:tr>
      <w:tr w:rsidR="00B9440A" w:rsidRPr="000C5D9D" w:rsidTr="001148AF">
        <w:tc>
          <w:tcPr>
            <w:tcW w:w="3085" w:type="dxa"/>
          </w:tcPr>
          <w:p w:rsidR="00B9440A" w:rsidRPr="000C5D9D" w:rsidRDefault="00B9440A" w:rsidP="001148AF">
            <w:pPr>
              <w:rPr>
                <w:b/>
                <w:sz w:val="22"/>
                <w:szCs w:val="22"/>
              </w:rPr>
            </w:pPr>
            <w:r w:rsidRPr="000C5D9D">
              <w:rPr>
                <w:rStyle w:val="c1"/>
                <w:color w:val="000000"/>
                <w:sz w:val="22"/>
                <w:szCs w:val="22"/>
              </w:rPr>
              <w:t xml:space="preserve">Jevgēnijs Gramsts </w:t>
            </w:r>
          </w:p>
        </w:tc>
        <w:tc>
          <w:tcPr>
            <w:tcW w:w="6379" w:type="dxa"/>
          </w:tcPr>
          <w:p w:rsidR="00B9440A" w:rsidRPr="000C5D9D" w:rsidRDefault="00B9440A" w:rsidP="001148AF">
            <w:pPr>
              <w:rPr>
                <w:b/>
                <w:sz w:val="22"/>
                <w:szCs w:val="22"/>
              </w:rPr>
            </w:pPr>
            <w:r w:rsidRPr="000C5D9D">
              <w:rPr>
                <w:rStyle w:val="c1"/>
                <w:color w:val="000000"/>
                <w:sz w:val="22"/>
                <w:szCs w:val="22"/>
              </w:rPr>
              <w:t xml:space="preserve">Juridiskā departamenta Iepirkumu nodaļas vecākais iepirkumu speciālists </w:t>
            </w:r>
          </w:p>
        </w:tc>
      </w:tr>
      <w:tr w:rsidR="00B9440A" w:rsidRPr="000C5D9D" w:rsidTr="001148AF">
        <w:trPr>
          <w:trHeight w:val="334"/>
        </w:trPr>
        <w:tc>
          <w:tcPr>
            <w:tcW w:w="3085" w:type="dxa"/>
          </w:tcPr>
          <w:p w:rsidR="00B9440A" w:rsidRPr="000C5D9D" w:rsidRDefault="00B9440A" w:rsidP="001148AF">
            <w:pPr>
              <w:tabs>
                <w:tab w:val="left" w:pos="9000"/>
                <w:tab w:val="left" w:pos="9360"/>
                <w:tab w:val="left" w:pos="9575"/>
              </w:tabs>
              <w:spacing w:before="120"/>
              <w:jc w:val="both"/>
              <w:rPr>
                <w:b/>
                <w:sz w:val="22"/>
                <w:szCs w:val="22"/>
              </w:rPr>
            </w:pPr>
            <w:r w:rsidRPr="000C5D9D">
              <w:rPr>
                <w:b/>
                <w:sz w:val="22"/>
                <w:szCs w:val="22"/>
              </w:rPr>
              <w:t>Komisijas locekļi:</w:t>
            </w:r>
          </w:p>
        </w:tc>
        <w:tc>
          <w:tcPr>
            <w:tcW w:w="6379" w:type="dxa"/>
          </w:tcPr>
          <w:p w:rsidR="00B9440A" w:rsidRPr="000C5D9D" w:rsidRDefault="00B9440A" w:rsidP="001148AF">
            <w:pPr>
              <w:tabs>
                <w:tab w:val="left" w:pos="397"/>
                <w:tab w:val="left" w:pos="9000"/>
                <w:tab w:val="left" w:pos="9575"/>
              </w:tabs>
              <w:spacing w:before="120"/>
              <w:jc w:val="center"/>
              <w:rPr>
                <w:b/>
                <w:sz w:val="22"/>
                <w:szCs w:val="22"/>
              </w:rPr>
            </w:pPr>
          </w:p>
        </w:tc>
      </w:tr>
      <w:tr w:rsidR="00B9440A" w:rsidRPr="000C5D9D" w:rsidTr="001148AF">
        <w:tc>
          <w:tcPr>
            <w:tcW w:w="3085" w:type="dxa"/>
          </w:tcPr>
          <w:p w:rsidR="00B9440A" w:rsidRPr="00CC3D4C" w:rsidRDefault="00B9440A" w:rsidP="001148AF">
            <w:r w:rsidRPr="00CC3D4C">
              <w:t>Sergejs Jurins</w:t>
            </w:r>
          </w:p>
        </w:tc>
        <w:tc>
          <w:tcPr>
            <w:tcW w:w="6379" w:type="dxa"/>
          </w:tcPr>
          <w:p w:rsidR="00B9440A" w:rsidRPr="00CC3D4C" w:rsidRDefault="00B9440A" w:rsidP="001148AF">
            <w:r w:rsidRPr="00CC3D4C">
              <w:t>SIA “RTU servisu aģentūra” izpilddirektors</w:t>
            </w:r>
          </w:p>
        </w:tc>
      </w:tr>
      <w:tr w:rsidR="00B9440A" w:rsidRPr="000C5D9D" w:rsidTr="001148AF">
        <w:tc>
          <w:tcPr>
            <w:tcW w:w="3085" w:type="dxa"/>
          </w:tcPr>
          <w:p w:rsidR="00B9440A" w:rsidRPr="00CC3D4C" w:rsidRDefault="00B9440A" w:rsidP="001148AF">
            <w:r w:rsidRPr="00CC3D4C">
              <w:t>Arno Pūtelis</w:t>
            </w:r>
          </w:p>
        </w:tc>
        <w:tc>
          <w:tcPr>
            <w:tcW w:w="6379" w:type="dxa"/>
          </w:tcPr>
          <w:p w:rsidR="00B9440A" w:rsidRDefault="00B9440A" w:rsidP="001148AF">
            <w:r w:rsidRPr="00CC3D4C">
              <w:t>SIA “RTU servisu aģentūra” apsardzes sistēmu tehniķis</w:t>
            </w:r>
          </w:p>
        </w:tc>
      </w:tr>
    </w:tbl>
    <w:p w:rsidR="00B9440A" w:rsidRPr="000C5D9D" w:rsidRDefault="00B9440A" w:rsidP="00B9440A">
      <w:pPr>
        <w:jc w:val="center"/>
        <w:rPr>
          <w:sz w:val="22"/>
          <w:szCs w:val="22"/>
          <w:lang w:val="lv-LV"/>
        </w:rPr>
      </w:pPr>
    </w:p>
    <w:p w:rsidR="00B9440A" w:rsidRPr="000C5D9D" w:rsidRDefault="00B9440A" w:rsidP="00B9440A">
      <w:pPr>
        <w:jc w:val="both"/>
        <w:rPr>
          <w:sz w:val="22"/>
          <w:szCs w:val="22"/>
          <w:lang w:val="lv-LV"/>
        </w:rPr>
      </w:pPr>
      <w:r w:rsidRPr="000C5D9D">
        <w:rPr>
          <w:sz w:val="22"/>
          <w:szCs w:val="22"/>
          <w:lang w:val="lv-LV"/>
        </w:rPr>
        <w:t xml:space="preserve">Komisija izveidota ar RTU finanšu prorektora </w:t>
      </w:r>
      <w:r w:rsidR="00172C84">
        <w:rPr>
          <w:sz w:val="22"/>
          <w:szCs w:val="22"/>
        </w:rPr>
        <w:t>2017</w:t>
      </w:r>
      <w:r w:rsidRPr="000C5D9D">
        <w:rPr>
          <w:sz w:val="22"/>
          <w:szCs w:val="22"/>
        </w:rPr>
        <w:t xml:space="preserve">. gada </w:t>
      </w:r>
      <w:r w:rsidR="00172C84">
        <w:rPr>
          <w:sz w:val="22"/>
          <w:szCs w:val="22"/>
        </w:rPr>
        <w:t>22</w:t>
      </w:r>
      <w:r w:rsidRPr="000C5D9D">
        <w:rPr>
          <w:sz w:val="22"/>
          <w:szCs w:val="22"/>
        </w:rPr>
        <w:t xml:space="preserve">. </w:t>
      </w:r>
      <w:r w:rsidR="00172C84">
        <w:rPr>
          <w:sz w:val="22"/>
          <w:szCs w:val="22"/>
        </w:rPr>
        <w:t>februāra</w:t>
      </w:r>
      <w:r>
        <w:rPr>
          <w:sz w:val="22"/>
          <w:szCs w:val="22"/>
        </w:rPr>
        <w:t xml:space="preserve"> </w:t>
      </w:r>
      <w:r w:rsidRPr="000C5D9D">
        <w:rPr>
          <w:sz w:val="22"/>
          <w:szCs w:val="22"/>
        </w:rPr>
        <w:t>rīkojumu Nr</w:t>
      </w:r>
      <w:r w:rsidR="00172C84">
        <w:rPr>
          <w:sz w:val="22"/>
          <w:szCs w:val="22"/>
        </w:rPr>
        <w:t>. 03000-1.2/25</w:t>
      </w:r>
      <w:r w:rsidRPr="000C5D9D">
        <w:rPr>
          <w:sz w:val="22"/>
          <w:szCs w:val="22"/>
          <w:lang w:val="lv-LV"/>
        </w:rPr>
        <w:t>.</w:t>
      </w:r>
    </w:p>
    <w:p w:rsidR="00B9440A" w:rsidRPr="000C5D9D" w:rsidRDefault="00B9440A" w:rsidP="00B9440A">
      <w:pPr>
        <w:rPr>
          <w:sz w:val="22"/>
          <w:szCs w:val="22"/>
        </w:rPr>
      </w:pPr>
    </w:p>
    <w:tbl>
      <w:tblPr>
        <w:tblW w:w="10586" w:type="dxa"/>
        <w:tblLayout w:type="fixed"/>
        <w:tblLook w:val="04A0" w:firstRow="1" w:lastRow="0" w:firstColumn="1" w:lastColumn="0" w:noHBand="0" w:noVBand="1"/>
      </w:tblPr>
      <w:tblGrid>
        <w:gridCol w:w="240"/>
        <w:gridCol w:w="10106"/>
        <w:gridCol w:w="240"/>
      </w:tblGrid>
      <w:tr w:rsidR="00B9440A" w:rsidRPr="000C5D9D" w:rsidTr="003172AD">
        <w:trPr>
          <w:trHeight w:val="2654"/>
        </w:trPr>
        <w:tc>
          <w:tcPr>
            <w:tcW w:w="10346" w:type="dxa"/>
            <w:gridSpan w:val="2"/>
          </w:tcPr>
          <w:p w:rsidR="00B9440A" w:rsidRPr="000C5D9D" w:rsidRDefault="00B9440A" w:rsidP="001148AF">
            <w:pPr>
              <w:jc w:val="both"/>
              <w:rPr>
                <w:b/>
                <w:bCs/>
                <w:sz w:val="22"/>
                <w:szCs w:val="22"/>
              </w:rPr>
            </w:pPr>
            <w:r w:rsidRPr="000C5D9D">
              <w:rPr>
                <w:b/>
                <w:bCs/>
                <w:sz w:val="22"/>
                <w:szCs w:val="22"/>
              </w:rPr>
              <w:t>Sēdes norise:</w:t>
            </w:r>
          </w:p>
          <w:p w:rsidR="00A151FC" w:rsidRDefault="00B9440A" w:rsidP="001148AF">
            <w:pPr>
              <w:pStyle w:val="ListParagraph"/>
              <w:numPr>
                <w:ilvl w:val="0"/>
                <w:numId w:val="1"/>
              </w:numPr>
              <w:rPr>
                <w:sz w:val="22"/>
                <w:szCs w:val="22"/>
              </w:rPr>
            </w:pPr>
            <w:r w:rsidRPr="000C5D9D">
              <w:rPr>
                <w:sz w:val="22"/>
                <w:szCs w:val="22"/>
              </w:rPr>
              <w:t>J.Gramsta informācija</w:t>
            </w:r>
            <w:r w:rsidR="00A151FC">
              <w:rPr>
                <w:sz w:val="22"/>
                <w:szCs w:val="22"/>
              </w:rPr>
              <w:t xml:space="preserve"> par iespējamā pretendenta jautājumiem</w:t>
            </w:r>
          </w:p>
          <w:p w:rsidR="00B9440A" w:rsidRPr="000C5D9D" w:rsidRDefault="00A151FC" w:rsidP="001148AF">
            <w:pPr>
              <w:pStyle w:val="ListParagraph"/>
              <w:numPr>
                <w:ilvl w:val="0"/>
                <w:numId w:val="1"/>
              </w:numPr>
              <w:rPr>
                <w:sz w:val="22"/>
                <w:szCs w:val="22"/>
              </w:rPr>
            </w:pPr>
            <w:r>
              <w:rPr>
                <w:sz w:val="22"/>
                <w:szCs w:val="22"/>
              </w:rPr>
              <w:t>J.Gramsta informācija par nolikuma precizējumiem</w:t>
            </w:r>
          </w:p>
          <w:p w:rsidR="00B9440A" w:rsidRPr="000C5D9D" w:rsidRDefault="00B9440A" w:rsidP="001148AF">
            <w:pPr>
              <w:pStyle w:val="ListParagraph"/>
              <w:ind w:left="420"/>
              <w:jc w:val="both"/>
              <w:rPr>
                <w:bCs/>
                <w:color w:val="000000" w:themeColor="text1"/>
                <w:sz w:val="22"/>
                <w:szCs w:val="22"/>
                <w:lang w:val="lv-LV"/>
              </w:rPr>
            </w:pPr>
          </w:p>
          <w:p w:rsidR="00B9440A" w:rsidRPr="000C5D9D" w:rsidRDefault="00B9440A" w:rsidP="001148AF">
            <w:pPr>
              <w:pStyle w:val="ListParagraph"/>
              <w:numPr>
                <w:ilvl w:val="1"/>
                <w:numId w:val="2"/>
              </w:numPr>
              <w:jc w:val="both"/>
              <w:rPr>
                <w:bCs/>
                <w:color w:val="000000" w:themeColor="text1"/>
                <w:sz w:val="22"/>
                <w:szCs w:val="22"/>
                <w:lang w:val="lv-LV"/>
              </w:rPr>
            </w:pPr>
            <w:r w:rsidRPr="000C5D9D">
              <w:rPr>
                <w:bCs/>
                <w:color w:val="000000" w:themeColor="text1"/>
                <w:sz w:val="22"/>
                <w:szCs w:val="22"/>
                <w:lang w:val="lv-LV"/>
              </w:rPr>
              <w:t xml:space="preserve">Komisijas priekšsēdētājs J.Gramsts informē komisijas locekļus par to, ka </w:t>
            </w:r>
            <w:r>
              <w:rPr>
                <w:bCs/>
                <w:color w:val="000000" w:themeColor="text1"/>
                <w:sz w:val="22"/>
                <w:szCs w:val="22"/>
                <w:lang w:val="lv-LV"/>
              </w:rPr>
              <w:t xml:space="preserve">elektroniski </w:t>
            </w:r>
            <w:r w:rsidRPr="000C5D9D">
              <w:rPr>
                <w:bCs/>
                <w:color w:val="000000" w:themeColor="text1"/>
                <w:sz w:val="22"/>
                <w:szCs w:val="22"/>
                <w:lang w:val="lv-LV"/>
              </w:rPr>
              <w:t xml:space="preserve">no iespējamā pretendenta ir </w:t>
            </w:r>
            <w:r w:rsidR="00172C84">
              <w:rPr>
                <w:bCs/>
                <w:color w:val="000000" w:themeColor="text1"/>
                <w:sz w:val="22"/>
                <w:szCs w:val="22"/>
                <w:lang w:val="lv-LV"/>
              </w:rPr>
              <w:t>saņemti</w:t>
            </w:r>
            <w:r>
              <w:rPr>
                <w:bCs/>
                <w:color w:val="000000" w:themeColor="text1"/>
                <w:sz w:val="22"/>
                <w:szCs w:val="22"/>
                <w:lang w:val="lv-LV"/>
              </w:rPr>
              <w:t xml:space="preserve"> jautājums par konkursa n</w:t>
            </w:r>
            <w:r w:rsidRPr="000C5D9D">
              <w:rPr>
                <w:bCs/>
                <w:color w:val="000000" w:themeColor="text1"/>
                <w:sz w:val="22"/>
                <w:szCs w:val="22"/>
                <w:lang w:val="lv-LV"/>
              </w:rPr>
              <w:t>olikumu.</w:t>
            </w:r>
          </w:p>
          <w:p w:rsidR="00B9440A" w:rsidRPr="000C5D9D" w:rsidRDefault="00B9440A" w:rsidP="00172C84">
            <w:pPr>
              <w:pStyle w:val="ListParagraph"/>
              <w:numPr>
                <w:ilvl w:val="2"/>
                <w:numId w:val="2"/>
              </w:numPr>
              <w:jc w:val="both"/>
              <w:rPr>
                <w:bCs/>
                <w:color w:val="000000" w:themeColor="text1"/>
                <w:sz w:val="22"/>
                <w:szCs w:val="22"/>
                <w:lang w:val="lv-LV"/>
              </w:rPr>
            </w:pPr>
            <w:r w:rsidRPr="000C5D9D">
              <w:rPr>
                <w:bCs/>
                <w:color w:val="000000" w:themeColor="text1"/>
                <w:sz w:val="22"/>
                <w:szCs w:val="22"/>
                <w:lang w:val="lv-LV"/>
              </w:rPr>
              <w:t>Komisi</w:t>
            </w:r>
            <w:r w:rsidR="00172C84">
              <w:rPr>
                <w:bCs/>
                <w:color w:val="000000" w:themeColor="text1"/>
                <w:sz w:val="22"/>
                <w:szCs w:val="22"/>
                <w:lang w:val="lv-LV"/>
              </w:rPr>
              <w:t>jas locekļi iepazīstas ar uzdoto</w:t>
            </w:r>
            <w:r w:rsidRPr="000C5D9D">
              <w:rPr>
                <w:bCs/>
                <w:color w:val="000000" w:themeColor="text1"/>
                <w:sz w:val="22"/>
                <w:szCs w:val="22"/>
                <w:lang w:val="lv-LV"/>
              </w:rPr>
              <w:t xml:space="preserve"> jautājum</w:t>
            </w:r>
            <w:r w:rsidR="00172C84">
              <w:rPr>
                <w:bCs/>
                <w:color w:val="000000" w:themeColor="text1"/>
                <w:sz w:val="22"/>
                <w:szCs w:val="22"/>
                <w:lang w:val="lv-LV"/>
              </w:rPr>
              <w:t>u</w:t>
            </w:r>
            <w:r w:rsidRPr="000C5D9D">
              <w:rPr>
                <w:bCs/>
                <w:color w:val="000000" w:themeColor="text1"/>
                <w:sz w:val="22"/>
                <w:szCs w:val="22"/>
                <w:lang w:val="lv-LV"/>
              </w:rPr>
              <w:t xml:space="preserve"> saturu, apspriež atbildes projektu.</w:t>
            </w:r>
          </w:p>
          <w:p w:rsidR="00B9440A" w:rsidRPr="000C5D9D" w:rsidRDefault="00B9440A" w:rsidP="001148AF">
            <w:pPr>
              <w:pStyle w:val="ListParagraph"/>
              <w:ind w:left="420"/>
              <w:jc w:val="both"/>
              <w:rPr>
                <w:bCs/>
                <w:color w:val="000000" w:themeColor="text1"/>
                <w:sz w:val="22"/>
                <w:szCs w:val="22"/>
                <w:lang w:val="lv-LV"/>
              </w:rPr>
            </w:pPr>
          </w:p>
          <w:p w:rsidR="003172AD" w:rsidRPr="00A151FC" w:rsidRDefault="00B9440A" w:rsidP="00A151FC">
            <w:pPr>
              <w:jc w:val="both"/>
              <w:rPr>
                <w:bCs/>
                <w:color w:val="000000" w:themeColor="text1"/>
                <w:sz w:val="22"/>
                <w:szCs w:val="22"/>
                <w:lang w:val="lv-LV"/>
              </w:rPr>
            </w:pPr>
            <w:r w:rsidRPr="000C5D9D">
              <w:rPr>
                <w:b/>
                <w:bCs/>
                <w:color w:val="000000" w:themeColor="text1"/>
                <w:sz w:val="22"/>
                <w:szCs w:val="22"/>
                <w:lang w:val="lv-LV"/>
              </w:rPr>
              <w:t>Komisijas locekļi vienbalsīgi nolemj</w:t>
            </w:r>
            <w:r w:rsidRPr="000C5D9D">
              <w:rPr>
                <w:bCs/>
                <w:color w:val="000000" w:themeColor="text1"/>
                <w:sz w:val="22"/>
                <w:szCs w:val="22"/>
                <w:lang w:val="lv-LV"/>
              </w:rPr>
              <w:t xml:space="preserve">: </w:t>
            </w:r>
            <w:r w:rsidR="00172C84" w:rsidRPr="00A151FC">
              <w:rPr>
                <w:bCs/>
                <w:color w:val="000000" w:themeColor="text1"/>
                <w:sz w:val="22"/>
                <w:szCs w:val="22"/>
                <w:lang w:val="lv-LV"/>
              </w:rPr>
              <w:t>sniegt šādas atbildes</w:t>
            </w:r>
            <w:r w:rsidRPr="00A151FC">
              <w:rPr>
                <w:bCs/>
                <w:color w:val="000000" w:themeColor="text1"/>
                <w:sz w:val="22"/>
                <w:szCs w:val="22"/>
                <w:lang w:val="lv-LV"/>
              </w:rPr>
              <w:t xml:space="preserve"> uz iespējamā pretendenta jautājumiem:</w:t>
            </w:r>
          </w:p>
          <w:p w:rsidR="003172AD" w:rsidRDefault="003172AD" w:rsidP="003172AD">
            <w:pPr>
              <w:pStyle w:val="ListParagraph"/>
              <w:jc w:val="both"/>
              <w:rPr>
                <w:bCs/>
                <w:color w:val="000000" w:themeColor="text1"/>
                <w:sz w:val="22"/>
                <w:szCs w:val="22"/>
                <w:lang w:val="lv-LV"/>
              </w:rPr>
            </w:pPr>
          </w:p>
          <w:p w:rsidR="00AD7E68" w:rsidRPr="00A151FC" w:rsidRDefault="00B9440A" w:rsidP="00172C84">
            <w:pPr>
              <w:jc w:val="both"/>
              <w:rPr>
                <w:b/>
                <w:sz w:val="22"/>
                <w:szCs w:val="22"/>
                <w:u w:val="single"/>
              </w:rPr>
            </w:pPr>
            <w:r w:rsidRPr="00A151FC">
              <w:rPr>
                <w:b/>
                <w:bCs/>
                <w:color w:val="000000" w:themeColor="text1"/>
                <w:sz w:val="22"/>
                <w:szCs w:val="22"/>
                <w:u w:val="single"/>
                <w:lang w:val="lv-LV"/>
              </w:rPr>
              <w:t>Jautājums</w:t>
            </w:r>
            <w:r w:rsidR="00172C84" w:rsidRPr="00A151FC">
              <w:rPr>
                <w:b/>
                <w:bCs/>
                <w:color w:val="000000" w:themeColor="text1"/>
                <w:sz w:val="22"/>
                <w:szCs w:val="22"/>
                <w:u w:val="single"/>
                <w:lang w:val="lv-LV"/>
              </w:rPr>
              <w:t xml:space="preserve"> Nr.1</w:t>
            </w:r>
            <w:r w:rsidRPr="00A151FC">
              <w:rPr>
                <w:b/>
                <w:bCs/>
                <w:color w:val="000000" w:themeColor="text1"/>
                <w:sz w:val="22"/>
                <w:szCs w:val="22"/>
                <w:u w:val="single"/>
                <w:lang w:val="lv-LV"/>
              </w:rPr>
              <w:t>:</w:t>
            </w:r>
            <w:r w:rsidR="00CE69E4" w:rsidRPr="00A151FC">
              <w:rPr>
                <w:b/>
                <w:sz w:val="22"/>
                <w:szCs w:val="22"/>
                <w:u w:val="single"/>
              </w:rPr>
              <w:t xml:space="preserve"> </w:t>
            </w:r>
          </w:p>
          <w:p w:rsidR="00172C84" w:rsidRPr="00A151FC" w:rsidRDefault="00172C84" w:rsidP="00172C84">
            <w:pPr>
              <w:jc w:val="both"/>
              <w:rPr>
                <w:i/>
                <w:sz w:val="22"/>
                <w:szCs w:val="22"/>
              </w:rPr>
            </w:pPr>
            <w:r w:rsidRPr="00A151FC">
              <w:rPr>
                <w:i/>
                <w:sz w:val="22"/>
                <w:szCs w:val="22"/>
              </w:rPr>
              <w:t>Iepirkuma konkursa RTU-2017/25 ir pievenotas mobilas vienibas ierasanas laika merisanas adreses.</w:t>
            </w:r>
          </w:p>
          <w:p w:rsidR="00172C84" w:rsidRPr="00A151FC" w:rsidRDefault="00172C84" w:rsidP="00172C84">
            <w:pPr>
              <w:jc w:val="both"/>
              <w:rPr>
                <w:i/>
                <w:sz w:val="22"/>
                <w:szCs w:val="22"/>
              </w:rPr>
            </w:pPr>
            <w:r w:rsidRPr="00A151FC">
              <w:rPr>
                <w:i/>
                <w:sz w:val="22"/>
                <w:szCs w:val="22"/>
              </w:rPr>
              <w:t>Ja pretendeta rīcōbā ir 16.04.2016. merisanas protokoli vai var vinus izmantot esošā konkursā?</w:t>
            </w:r>
          </w:p>
          <w:p w:rsidR="00172C84" w:rsidRPr="00A151FC" w:rsidRDefault="00172C84" w:rsidP="00172C84">
            <w:pPr>
              <w:jc w:val="both"/>
              <w:rPr>
                <w:i/>
                <w:sz w:val="22"/>
                <w:szCs w:val="22"/>
              </w:rPr>
            </w:pPr>
            <w:r w:rsidRPr="00A151FC">
              <w:rPr>
                <w:i/>
                <w:sz w:val="22"/>
                <w:szCs w:val="22"/>
              </w:rPr>
              <w:t>Lai papildus veikt merisanas protokolus vai pretendets var izmantot  nomatas automasinas?</w:t>
            </w:r>
          </w:p>
          <w:p w:rsidR="00172C84" w:rsidRPr="00A151FC" w:rsidRDefault="00172C84" w:rsidP="00172C84">
            <w:pPr>
              <w:jc w:val="both"/>
              <w:rPr>
                <w:i/>
                <w:sz w:val="22"/>
                <w:szCs w:val="22"/>
              </w:rPr>
            </w:pPr>
            <w:r w:rsidRPr="00A151FC">
              <w:rPr>
                <w:i/>
                <w:sz w:val="22"/>
                <w:szCs w:val="22"/>
              </w:rPr>
              <w:t>Pretendentam ir javeic mobilas vienibas ierasanas laiks Viskalu iela 36 (bijusais Ezermalas iela 6, Ríga) vai pretendets var pievienot 16.04.2016. gada veiktus merisanas protokolus ar veco adresi (tas ir Ezermalsa iela)?</w:t>
            </w:r>
          </w:p>
          <w:p w:rsidR="00B9440A" w:rsidRPr="00AD7E68" w:rsidRDefault="00B9440A" w:rsidP="00172C84">
            <w:pPr>
              <w:jc w:val="both"/>
              <w:rPr>
                <w:b/>
                <w:bCs/>
                <w:color w:val="000000" w:themeColor="text1"/>
                <w:sz w:val="22"/>
                <w:szCs w:val="22"/>
                <w:u w:val="single"/>
                <w:lang w:val="lv-LV"/>
              </w:rPr>
            </w:pPr>
            <w:r w:rsidRPr="00AD7E68">
              <w:rPr>
                <w:b/>
                <w:bCs/>
                <w:color w:val="000000" w:themeColor="text1"/>
                <w:sz w:val="22"/>
                <w:szCs w:val="22"/>
                <w:u w:val="single"/>
                <w:lang w:val="lv-LV"/>
              </w:rPr>
              <w:t>Atbilde</w:t>
            </w:r>
            <w:r w:rsidR="00172C84" w:rsidRPr="00AD7E68">
              <w:rPr>
                <w:b/>
                <w:bCs/>
                <w:color w:val="000000" w:themeColor="text1"/>
                <w:sz w:val="22"/>
                <w:szCs w:val="22"/>
                <w:u w:val="single"/>
                <w:lang w:val="lv-LV"/>
              </w:rPr>
              <w:t xml:space="preserve"> Nr.1</w:t>
            </w:r>
            <w:r w:rsidR="003172AD" w:rsidRPr="00AD7E68">
              <w:rPr>
                <w:b/>
                <w:bCs/>
                <w:color w:val="000000" w:themeColor="text1"/>
                <w:sz w:val="22"/>
                <w:szCs w:val="22"/>
                <w:u w:val="single"/>
                <w:lang w:val="lv-LV"/>
              </w:rPr>
              <w:t xml:space="preserve">: </w:t>
            </w:r>
          </w:p>
          <w:p w:rsidR="00B9440A" w:rsidRDefault="00172C84" w:rsidP="001148AF">
            <w:pPr>
              <w:jc w:val="both"/>
              <w:rPr>
                <w:color w:val="000000" w:themeColor="text1"/>
                <w:sz w:val="22"/>
                <w:szCs w:val="22"/>
                <w:lang w:val="lv-LV"/>
              </w:rPr>
            </w:pPr>
            <w:r>
              <w:rPr>
                <w:color w:val="000000" w:themeColor="text1"/>
                <w:sz w:val="22"/>
                <w:szCs w:val="22"/>
                <w:lang w:val="lv-LV"/>
              </w:rPr>
              <w:t>Pretendents ir tiesīgs pievienot iepriekš veikto mērījumu protokolus, ja tie atbilst konkursa nolikuma 5.2.2.punktam.</w:t>
            </w:r>
          </w:p>
          <w:p w:rsidR="00172C84" w:rsidRDefault="00172C84" w:rsidP="001148AF">
            <w:pPr>
              <w:jc w:val="both"/>
              <w:rPr>
                <w:color w:val="000000" w:themeColor="text1"/>
                <w:sz w:val="22"/>
                <w:szCs w:val="22"/>
                <w:lang w:val="lv-LV"/>
              </w:rPr>
            </w:pPr>
            <w:r>
              <w:rPr>
                <w:color w:val="000000" w:themeColor="text1"/>
                <w:sz w:val="22"/>
                <w:szCs w:val="22"/>
                <w:lang w:val="lv-LV"/>
              </w:rPr>
              <w:t>Lai veiktu papildu mērījumus, pretendents ir tiesīgs izmantot nomātas automašīnas, ja tiek ievērots konkursa nolikuma</w:t>
            </w:r>
            <w:r w:rsidR="00AD7E68">
              <w:rPr>
                <w:color w:val="000000" w:themeColor="text1"/>
                <w:sz w:val="22"/>
                <w:szCs w:val="22"/>
                <w:lang w:val="lv-LV"/>
              </w:rPr>
              <w:t xml:space="preserve"> 4.1.5.punkts un 4.4.- 4.6. punkti.</w:t>
            </w:r>
          </w:p>
          <w:p w:rsidR="00AD7E68" w:rsidRDefault="00AD7E68" w:rsidP="001148AF">
            <w:pPr>
              <w:jc w:val="both"/>
              <w:rPr>
                <w:color w:val="000000" w:themeColor="text1"/>
                <w:sz w:val="22"/>
                <w:szCs w:val="22"/>
                <w:lang w:val="lv-LV"/>
              </w:rPr>
            </w:pPr>
            <w:r>
              <w:rPr>
                <w:color w:val="000000" w:themeColor="text1"/>
                <w:sz w:val="22"/>
                <w:szCs w:val="22"/>
                <w:lang w:val="lv-LV"/>
              </w:rPr>
              <w:t>Pretendents ir tiesīgs iesniegt mērīšanas protokolu par ierašanos adresē Ezermalas ielā 6, Rī</w:t>
            </w:r>
            <w:r w:rsidRPr="00AD7E68">
              <w:rPr>
                <w:color w:val="000000" w:themeColor="text1"/>
                <w:sz w:val="22"/>
                <w:szCs w:val="22"/>
                <w:lang w:val="lv-LV"/>
              </w:rPr>
              <w:t>ga</w:t>
            </w:r>
            <w:r>
              <w:rPr>
                <w:color w:val="000000" w:themeColor="text1"/>
                <w:sz w:val="22"/>
                <w:szCs w:val="22"/>
                <w:lang w:val="lv-LV"/>
              </w:rPr>
              <w:t>, ja tiek ievērots konkursa nolikuma 5.2.2.punkts.</w:t>
            </w:r>
          </w:p>
          <w:p w:rsidR="00AD7E68" w:rsidRDefault="00AD7E68" w:rsidP="001148AF">
            <w:pPr>
              <w:jc w:val="both"/>
              <w:rPr>
                <w:color w:val="000000" w:themeColor="text1"/>
                <w:sz w:val="22"/>
                <w:szCs w:val="22"/>
                <w:lang w:val="lv-LV"/>
              </w:rPr>
            </w:pPr>
          </w:p>
          <w:p w:rsidR="00AD7E68" w:rsidRPr="00AD7E68" w:rsidRDefault="00AD7E68" w:rsidP="001148AF">
            <w:pPr>
              <w:jc w:val="both"/>
              <w:rPr>
                <w:b/>
                <w:color w:val="000000" w:themeColor="text1"/>
                <w:sz w:val="22"/>
                <w:szCs w:val="22"/>
                <w:u w:val="single"/>
                <w:lang w:val="lv-LV"/>
              </w:rPr>
            </w:pPr>
            <w:r w:rsidRPr="00AD7E68">
              <w:rPr>
                <w:b/>
                <w:color w:val="000000" w:themeColor="text1"/>
                <w:sz w:val="22"/>
                <w:szCs w:val="22"/>
                <w:u w:val="single"/>
                <w:lang w:val="lv-LV"/>
              </w:rPr>
              <w:t>Jautājums Nr.2:</w:t>
            </w:r>
          </w:p>
          <w:p w:rsidR="00AD7E68" w:rsidRPr="00A151FC" w:rsidRDefault="00AD7E68" w:rsidP="00AD7E68">
            <w:pPr>
              <w:jc w:val="both"/>
              <w:rPr>
                <w:i/>
                <w:color w:val="000000" w:themeColor="text1"/>
                <w:sz w:val="22"/>
                <w:szCs w:val="22"/>
                <w:lang w:val="lv-LV"/>
              </w:rPr>
            </w:pPr>
            <w:r w:rsidRPr="00A151FC">
              <w:rPr>
                <w:i/>
                <w:color w:val="000000" w:themeColor="text1"/>
                <w:sz w:val="22"/>
                <w:szCs w:val="22"/>
                <w:lang w:val="lv-LV"/>
              </w:rPr>
              <w:t>Iepirkuma konkursa RTU 2017/25 tehniska specifikacija (pielikums nr.1) iepirkuma pozicija Nr.1.4 ir minets objekta pieslegsana CNP un apkalposana, kur vel nav uzstadita apsardzes  signalizacija:</w:t>
            </w:r>
          </w:p>
          <w:p w:rsidR="00AD7E68" w:rsidRPr="00A151FC" w:rsidRDefault="00AD7E68" w:rsidP="00AD7E68">
            <w:pPr>
              <w:jc w:val="both"/>
              <w:rPr>
                <w:i/>
                <w:color w:val="000000" w:themeColor="text1"/>
                <w:sz w:val="22"/>
                <w:szCs w:val="22"/>
                <w:lang w:val="lv-LV"/>
              </w:rPr>
            </w:pPr>
            <w:r w:rsidRPr="00A151FC">
              <w:rPr>
                <w:i/>
                <w:color w:val="000000" w:themeColor="text1"/>
                <w:sz w:val="22"/>
                <w:szCs w:val="22"/>
                <w:lang w:val="lv-LV"/>
              </w:rPr>
              <w:t>1. Mineta tabula ir domats jauna objekta pieslegsana CNP un apkalposana nosakot abonent maksu menesi, vai tas ir domats konkrets darbs un pretndents nosaka cenu par veiktu darbu katra pozicija?</w:t>
            </w:r>
          </w:p>
          <w:p w:rsidR="00B9440A" w:rsidRPr="00A151FC" w:rsidRDefault="00AD7E68" w:rsidP="00AD7E68">
            <w:pPr>
              <w:jc w:val="both"/>
              <w:rPr>
                <w:i/>
                <w:color w:val="000000" w:themeColor="text1"/>
                <w:sz w:val="22"/>
                <w:szCs w:val="22"/>
                <w:lang w:val="lv-LV"/>
              </w:rPr>
            </w:pPr>
            <w:r w:rsidRPr="00A151FC">
              <w:rPr>
                <w:i/>
                <w:color w:val="000000" w:themeColor="text1"/>
                <w:sz w:val="22"/>
                <w:szCs w:val="22"/>
                <w:lang w:val="lv-LV"/>
              </w:rPr>
              <w:t>2.Ugunsdrosibas tehniska uzraudziba, tas nozime ka Pretendets veic ugunsdrosibas signalizacijas apkalposanu pec reglamenta, ievadot zurnalus ? Vai vienkarsi veic uzraudzibu un par sistemas bojajumiem pazino Pasutitajam?</w:t>
            </w:r>
          </w:p>
          <w:p w:rsidR="00AD7E68" w:rsidRDefault="00AD7E68" w:rsidP="001148AF">
            <w:pPr>
              <w:jc w:val="both"/>
              <w:rPr>
                <w:b/>
                <w:color w:val="000000" w:themeColor="text1"/>
                <w:sz w:val="22"/>
                <w:szCs w:val="22"/>
                <w:u w:val="single"/>
                <w:lang w:val="lv-LV"/>
              </w:rPr>
            </w:pPr>
          </w:p>
          <w:p w:rsidR="00B9440A" w:rsidRDefault="00AD7E68" w:rsidP="001148AF">
            <w:pPr>
              <w:jc w:val="both"/>
              <w:rPr>
                <w:b/>
                <w:color w:val="000000" w:themeColor="text1"/>
                <w:sz w:val="22"/>
                <w:szCs w:val="22"/>
                <w:u w:val="single"/>
                <w:lang w:val="lv-LV"/>
              </w:rPr>
            </w:pPr>
            <w:r>
              <w:rPr>
                <w:b/>
                <w:color w:val="000000" w:themeColor="text1"/>
                <w:sz w:val="22"/>
                <w:szCs w:val="22"/>
                <w:u w:val="single"/>
                <w:lang w:val="lv-LV"/>
              </w:rPr>
              <w:t>Atbilde Nr.2:</w:t>
            </w:r>
          </w:p>
          <w:p w:rsidR="00AD7E68" w:rsidRDefault="00AD7E68" w:rsidP="001148AF">
            <w:pPr>
              <w:jc w:val="both"/>
              <w:rPr>
                <w:color w:val="000000" w:themeColor="text1"/>
                <w:sz w:val="22"/>
                <w:szCs w:val="22"/>
                <w:lang w:val="lv-LV"/>
              </w:rPr>
            </w:pPr>
            <w:r>
              <w:rPr>
                <w:color w:val="000000" w:themeColor="text1"/>
                <w:sz w:val="22"/>
                <w:szCs w:val="22"/>
                <w:lang w:val="lv-LV"/>
              </w:rPr>
              <w:t>1. Pretendents nosaka cenu par norādīto darbu;</w:t>
            </w:r>
          </w:p>
          <w:p w:rsidR="00AD7E68" w:rsidRDefault="00AD7E68" w:rsidP="00AD7E68">
            <w:pPr>
              <w:jc w:val="both"/>
              <w:rPr>
                <w:color w:val="000000" w:themeColor="text1"/>
                <w:sz w:val="22"/>
                <w:szCs w:val="22"/>
                <w:lang w:val="lv-LV"/>
              </w:rPr>
            </w:pPr>
            <w:r>
              <w:rPr>
                <w:color w:val="000000" w:themeColor="text1"/>
                <w:sz w:val="22"/>
                <w:szCs w:val="22"/>
                <w:lang w:val="lv-LV"/>
              </w:rPr>
              <w:t>2. Konkrētajā iepirkuma pozīcijā u</w:t>
            </w:r>
            <w:r w:rsidRPr="00AD7E68">
              <w:rPr>
                <w:color w:val="000000" w:themeColor="text1"/>
                <w:sz w:val="22"/>
                <w:szCs w:val="22"/>
                <w:lang w:val="lv-LV"/>
              </w:rPr>
              <w:t xml:space="preserve">gunsdrošības uzraudzību </w:t>
            </w:r>
            <w:r>
              <w:rPr>
                <w:color w:val="000000" w:themeColor="text1"/>
                <w:sz w:val="22"/>
                <w:szCs w:val="22"/>
                <w:lang w:val="lv-LV"/>
              </w:rPr>
              <w:t>jānodrošina</w:t>
            </w:r>
            <w:r w:rsidRPr="00AD7E68">
              <w:rPr>
                <w:color w:val="000000" w:themeColor="text1"/>
                <w:sz w:val="22"/>
                <w:szCs w:val="22"/>
                <w:lang w:val="lv-LV"/>
              </w:rPr>
              <w:t xml:space="preserve"> </w:t>
            </w:r>
            <w:r>
              <w:rPr>
                <w:color w:val="000000" w:themeColor="text1"/>
                <w:sz w:val="22"/>
                <w:szCs w:val="22"/>
                <w:lang w:val="lv-LV"/>
              </w:rPr>
              <w:t>kā</w:t>
            </w:r>
            <w:r w:rsidRPr="00AD7E68">
              <w:rPr>
                <w:color w:val="000000" w:themeColor="text1"/>
                <w:sz w:val="22"/>
                <w:szCs w:val="22"/>
                <w:lang w:val="lv-LV"/>
              </w:rPr>
              <w:t xml:space="preserve"> </w:t>
            </w:r>
            <w:r>
              <w:rPr>
                <w:color w:val="000000" w:themeColor="text1"/>
                <w:sz w:val="22"/>
                <w:szCs w:val="22"/>
                <w:lang w:val="lv-LV"/>
              </w:rPr>
              <w:t>reakciju</w:t>
            </w:r>
            <w:r w:rsidRPr="00AD7E68">
              <w:rPr>
                <w:color w:val="000000" w:themeColor="text1"/>
                <w:sz w:val="22"/>
                <w:szCs w:val="22"/>
                <w:lang w:val="lv-LV"/>
              </w:rPr>
              <w:t xml:space="preserve"> uz ugunsdrošības trauksmēm, </w:t>
            </w:r>
            <w:r>
              <w:rPr>
                <w:color w:val="000000" w:themeColor="text1"/>
                <w:sz w:val="22"/>
                <w:szCs w:val="22"/>
                <w:lang w:val="lv-LV"/>
              </w:rPr>
              <w:t xml:space="preserve">t.i. </w:t>
            </w:r>
            <w:r w:rsidRPr="00AD7E68">
              <w:rPr>
                <w:color w:val="000000" w:themeColor="text1"/>
                <w:sz w:val="22"/>
                <w:szCs w:val="22"/>
                <w:lang w:val="lv-LV"/>
              </w:rPr>
              <w:t xml:space="preserve">tikai jāreaģē un jānodrošina trauksmes signāla padevi uz </w:t>
            </w:r>
            <w:r>
              <w:rPr>
                <w:color w:val="000000" w:themeColor="text1"/>
                <w:sz w:val="22"/>
                <w:szCs w:val="22"/>
                <w:lang w:val="lv-LV"/>
              </w:rPr>
              <w:t>CNP</w:t>
            </w:r>
            <w:r w:rsidRPr="00AD7E68">
              <w:rPr>
                <w:color w:val="000000" w:themeColor="text1"/>
                <w:sz w:val="22"/>
                <w:szCs w:val="22"/>
                <w:lang w:val="lv-LV"/>
              </w:rPr>
              <w:t>.</w:t>
            </w:r>
          </w:p>
          <w:p w:rsidR="00AD7E68" w:rsidRDefault="00AD7E68" w:rsidP="00AD7E68">
            <w:pPr>
              <w:jc w:val="both"/>
              <w:rPr>
                <w:color w:val="000000" w:themeColor="text1"/>
                <w:sz w:val="22"/>
                <w:szCs w:val="22"/>
                <w:lang w:val="lv-LV"/>
              </w:rPr>
            </w:pPr>
          </w:p>
          <w:p w:rsidR="00AD7E68" w:rsidRPr="00AD7E68" w:rsidRDefault="00AD7E68" w:rsidP="00A151FC">
            <w:pPr>
              <w:pStyle w:val="ListParagraph"/>
              <w:numPr>
                <w:ilvl w:val="0"/>
                <w:numId w:val="2"/>
              </w:numPr>
              <w:jc w:val="both"/>
              <w:rPr>
                <w:color w:val="000000" w:themeColor="text1"/>
                <w:sz w:val="22"/>
                <w:szCs w:val="22"/>
                <w:lang w:val="lv-LV"/>
              </w:rPr>
            </w:pPr>
            <w:r>
              <w:rPr>
                <w:color w:val="000000" w:themeColor="text1"/>
                <w:sz w:val="22"/>
                <w:szCs w:val="22"/>
                <w:lang w:val="lv-LV"/>
              </w:rPr>
              <w:t>J.Gramsts informē, ka konkursa nolikuma 2.pielikumā</w:t>
            </w:r>
            <w:r w:rsidR="001148AF">
              <w:t xml:space="preserve"> “</w:t>
            </w:r>
            <w:r w:rsidR="001148AF" w:rsidRPr="001148AF">
              <w:rPr>
                <w:color w:val="000000" w:themeColor="text1"/>
                <w:sz w:val="22"/>
                <w:szCs w:val="22"/>
                <w:lang w:val="lv-LV"/>
              </w:rPr>
              <w:t>Tehniskā specifikācija un Pretendenta piedāvājums</w:t>
            </w:r>
            <w:r w:rsidR="001148AF">
              <w:rPr>
                <w:color w:val="000000" w:themeColor="text1"/>
                <w:sz w:val="22"/>
                <w:szCs w:val="22"/>
                <w:lang w:val="lv-LV"/>
              </w:rPr>
              <w:t>”</w:t>
            </w:r>
            <w:r>
              <w:rPr>
                <w:color w:val="000000" w:themeColor="text1"/>
                <w:sz w:val="22"/>
                <w:szCs w:val="22"/>
                <w:lang w:val="lv-LV"/>
              </w:rPr>
              <w:t xml:space="preserve"> iepirkuma pozīcijā Nr.1.5</w:t>
            </w:r>
            <w:r w:rsidR="00A151FC">
              <w:rPr>
                <w:color w:val="000000" w:themeColor="text1"/>
                <w:sz w:val="22"/>
                <w:szCs w:val="22"/>
                <w:lang w:val="lv-LV"/>
              </w:rPr>
              <w:t>:</w:t>
            </w:r>
            <w:r w:rsidR="00A151FC">
              <w:t xml:space="preserve"> “</w:t>
            </w:r>
            <w:r w:rsidR="00A151FC" w:rsidRPr="00A151FC">
              <w:rPr>
                <w:color w:val="000000" w:themeColor="text1"/>
                <w:sz w:val="22"/>
                <w:szCs w:val="22"/>
                <w:lang w:val="lv-LV"/>
              </w:rPr>
              <w:t>Apsardzes sistēmu iekārtu nomaiņas darbi</w:t>
            </w:r>
            <w:r w:rsidR="00A151FC">
              <w:rPr>
                <w:color w:val="000000" w:themeColor="text1"/>
                <w:sz w:val="22"/>
                <w:szCs w:val="22"/>
                <w:lang w:val="lv-LV"/>
              </w:rPr>
              <w:t xml:space="preserve">” ir ieviesusies tehniska kļūda, proti summas </w:t>
            </w:r>
            <w:r w:rsidR="00A151FC" w:rsidRPr="00A151FC">
              <w:rPr>
                <w:color w:val="000000" w:themeColor="text1"/>
                <w:sz w:val="22"/>
                <w:szCs w:val="22"/>
                <w:lang w:val="lv-LV"/>
              </w:rPr>
              <w:t xml:space="preserve">F. </w:t>
            </w:r>
            <w:r w:rsidR="00A151FC">
              <w:rPr>
                <w:color w:val="000000" w:themeColor="text1"/>
                <w:sz w:val="22"/>
                <w:szCs w:val="22"/>
                <w:lang w:val="lv-LV"/>
              </w:rPr>
              <w:t>“</w:t>
            </w:r>
            <w:r w:rsidR="00A151FC" w:rsidRPr="00A151FC">
              <w:rPr>
                <w:color w:val="000000" w:themeColor="text1"/>
                <w:sz w:val="22"/>
                <w:szCs w:val="22"/>
                <w:lang w:val="lv-LV"/>
              </w:rPr>
              <w:t>Vidējā summa</w:t>
            </w:r>
            <w:r w:rsidR="00A151FC">
              <w:rPr>
                <w:color w:val="000000" w:themeColor="text1"/>
                <w:sz w:val="22"/>
                <w:szCs w:val="22"/>
                <w:lang w:val="lv-LV"/>
              </w:rPr>
              <w:t xml:space="preserve"> par gabaldarbu, EUR, bez PVN (D</w:t>
            </w:r>
            <w:r w:rsidR="00A151FC" w:rsidRPr="00A151FC">
              <w:rPr>
                <w:color w:val="000000" w:themeColor="text1"/>
                <w:sz w:val="22"/>
                <w:szCs w:val="22"/>
                <w:lang w:val="lv-LV"/>
              </w:rPr>
              <w:t>/6)</w:t>
            </w:r>
            <w:r w:rsidR="00A151FC">
              <w:rPr>
                <w:color w:val="000000" w:themeColor="text1"/>
                <w:sz w:val="22"/>
                <w:szCs w:val="22"/>
                <w:lang w:val="lv-LV"/>
              </w:rPr>
              <w:t>” vietā ir jābūt “</w:t>
            </w:r>
            <w:r w:rsidR="00A151FC" w:rsidRPr="00A151FC">
              <w:rPr>
                <w:color w:val="000000" w:themeColor="text1"/>
                <w:sz w:val="22"/>
                <w:szCs w:val="22"/>
                <w:lang w:val="lv-LV"/>
              </w:rPr>
              <w:t>F. Vidējā summa par gabaldarbu, EUR, bez PVN (E/6)</w:t>
            </w:r>
            <w:r w:rsidR="00A151FC">
              <w:rPr>
                <w:color w:val="000000" w:themeColor="text1"/>
                <w:sz w:val="22"/>
                <w:szCs w:val="22"/>
                <w:lang w:val="lv-LV"/>
              </w:rPr>
              <w:t>”.</w:t>
            </w:r>
          </w:p>
          <w:p w:rsidR="00AD7E68" w:rsidRDefault="00AD7E68" w:rsidP="00AD7E68">
            <w:pPr>
              <w:jc w:val="both"/>
              <w:rPr>
                <w:color w:val="000000" w:themeColor="text1"/>
                <w:sz w:val="22"/>
                <w:szCs w:val="22"/>
                <w:lang w:val="lv-LV"/>
              </w:rPr>
            </w:pPr>
          </w:p>
          <w:p w:rsidR="00AD7E68" w:rsidRDefault="00A151FC" w:rsidP="00AD7E68">
            <w:pPr>
              <w:jc w:val="both"/>
              <w:rPr>
                <w:bCs/>
                <w:color w:val="000000" w:themeColor="text1"/>
                <w:sz w:val="22"/>
                <w:szCs w:val="22"/>
                <w:lang w:val="lv-LV"/>
              </w:rPr>
            </w:pPr>
            <w:r w:rsidRPr="000C5D9D">
              <w:rPr>
                <w:b/>
                <w:bCs/>
                <w:color w:val="000000" w:themeColor="text1"/>
                <w:sz w:val="22"/>
                <w:szCs w:val="22"/>
                <w:lang w:val="lv-LV"/>
              </w:rPr>
              <w:t>Komisijas locekļi vienbalsīgi nolemj</w:t>
            </w:r>
            <w:r w:rsidRPr="000C5D9D">
              <w:rPr>
                <w:bCs/>
                <w:color w:val="000000" w:themeColor="text1"/>
                <w:sz w:val="22"/>
                <w:szCs w:val="22"/>
                <w:lang w:val="lv-LV"/>
              </w:rPr>
              <w:t xml:space="preserve">: </w:t>
            </w:r>
            <w:r>
              <w:rPr>
                <w:bCs/>
                <w:color w:val="000000" w:themeColor="text1"/>
                <w:sz w:val="22"/>
                <w:szCs w:val="22"/>
                <w:lang w:val="lv-LV"/>
              </w:rPr>
              <w:t xml:space="preserve">atbilstoši protokola 2.punktā secinātajam precizēt konkursa nolikuma 2.pielikuma </w:t>
            </w:r>
            <w:r w:rsidRPr="00A151FC">
              <w:rPr>
                <w:bCs/>
                <w:color w:val="000000" w:themeColor="text1"/>
                <w:sz w:val="22"/>
                <w:szCs w:val="22"/>
                <w:lang w:val="lv-LV"/>
              </w:rPr>
              <w:t>“Tehniskā specifikācija un Pretendenta</w:t>
            </w:r>
            <w:r>
              <w:rPr>
                <w:bCs/>
                <w:color w:val="000000" w:themeColor="text1"/>
                <w:sz w:val="22"/>
                <w:szCs w:val="22"/>
                <w:lang w:val="lv-LV"/>
              </w:rPr>
              <w:t xml:space="preserve"> piedāvājums” iepirkuma pozīciju</w:t>
            </w:r>
            <w:r w:rsidRPr="00A151FC">
              <w:rPr>
                <w:bCs/>
                <w:color w:val="000000" w:themeColor="text1"/>
                <w:sz w:val="22"/>
                <w:szCs w:val="22"/>
                <w:lang w:val="lv-LV"/>
              </w:rPr>
              <w:t xml:space="preserve"> Nr.1.5: “Apsardzes sistēmu iekārtu nomaiņas darbi”</w:t>
            </w:r>
            <w:r>
              <w:rPr>
                <w:bCs/>
                <w:color w:val="000000" w:themeColor="text1"/>
                <w:sz w:val="22"/>
                <w:szCs w:val="22"/>
                <w:lang w:val="lv-LV"/>
              </w:rPr>
              <w:t>.</w:t>
            </w:r>
          </w:p>
          <w:p w:rsidR="00A151FC" w:rsidRDefault="00A151FC" w:rsidP="00AD7E68">
            <w:pPr>
              <w:jc w:val="both"/>
              <w:rPr>
                <w:bCs/>
                <w:color w:val="000000" w:themeColor="text1"/>
                <w:sz w:val="22"/>
                <w:szCs w:val="22"/>
                <w:lang w:val="lv-LV"/>
              </w:rPr>
            </w:pPr>
          </w:p>
          <w:p w:rsidR="00A151FC" w:rsidRDefault="00A151FC" w:rsidP="00AD7E68">
            <w:pPr>
              <w:jc w:val="both"/>
              <w:rPr>
                <w:bCs/>
                <w:color w:val="000000" w:themeColor="text1"/>
                <w:sz w:val="22"/>
                <w:szCs w:val="22"/>
                <w:lang w:val="lv-LV"/>
              </w:rPr>
            </w:pPr>
            <w:r w:rsidRPr="00A151FC">
              <w:rPr>
                <w:b/>
                <w:bCs/>
                <w:color w:val="000000" w:themeColor="text1"/>
                <w:sz w:val="22"/>
                <w:szCs w:val="22"/>
                <w:lang w:val="lv-LV"/>
              </w:rPr>
              <w:t>Komisijas locekļi uzdod</w:t>
            </w:r>
            <w:r>
              <w:rPr>
                <w:bCs/>
                <w:color w:val="000000" w:themeColor="text1"/>
                <w:sz w:val="22"/>
                <w:szCs w:val="22"/>
                <w:lang w:val="lv-LV"/>
              </w:rPr>
              <w:t xml:space="preserve"> J.Gramstam informēt iespējamo pretendentu par iepirkuma komisijas sniegto atbildi uz jautājumiem un ievietot informāciju pasūtītāja mājaslapā Internetā: </w:t>
            </w:r>
            <w:hyperlink r:id="rId7" w:history="1">
              <w:r w:rsidRPr="000C36C0">
                <w:rPr>
                  <w:rStyle w:val="Hyperlink"/>
                  <w:bCs/>
                  <w:sz w:val="22"/>
                  <w:szCs w:val="22"/>
                  <w:lang w:val="lv-LV"/>
                </w:rPr>
                <w:t>www.rtu.lv</w:t>
              </w:r>
            </w:hyperlink>
            <w:r>
              <w:rPr>
                <w:bCs/>
                <w:color w:val="000000" w:themeColor="text1"/>
                <w:sz w:val="22"/>
                <w:szCs w:val="22"/>
                <w:lang w:val="lv-LV"/>
              </w:rPr>
              <w:t>.</w:t>
            </w:r>
          </w:p>
          <w:p w:rsidR="00A151FC" w:rsidRDefault="00A151FC" w:rsidP="00AD7E68">
            <w:pPr>
              <w:jc w:val="both"/>
              <w:rPr>
                <w:bCs/>
                <w:color w:val="000000" w:themeColor="text1"/>
                <w:sz w:val="22"/>
                <w:szCs w:val="22"/>
                <w:lang w:val="lv-LV"/>
              </w:rPr>
            </w:pPr>
          </w:p>
          <w:p w:rsidR="00A151FC" w:rsidRDefault="00A151FC" w:rsidP="00AD7E68">
            <w:pPr>
              <w:jc w:val="both"/>
              <w:rPr>
                <w:bCs/>
                <w:color w:val="000000" w:themeColor="text1"/>
                <w:sz w:val="22"/>
                <w:szCs w:val="22"/>
                <w:lang w:val="lv-LV"/>
              </w:rPr>
            </w:pPr>
            <w:bookmarkStart w:id="0" w:name="_GoBack"/>
            <w:bookmarkEnd w:id="0"/>
          </w:p>
          <w:p w:rsidR="00A151FC" w:rsidRDefault="00A151FC" w:rsidP="00AD7E68">
            <w:pPr>
              <w:jc w:val="both"/>
              <w:rPr>
                <w:bCs/>
                <w:color w:val="000000" w:themeColor="text1"/>
                <w:sz w:val="22"/>
                <w:szCs w:val="22"/>
                <w:lang w:val="lv-LV"/>
              </w:rPr>
            </w:pPr>
            <w:r>
              <w:rPr>
                <w:bCs/>
                <w:color w:val="000000" w:themeColor="text1"/>
                <w:sz w:val="22"/>
                <w:szCs w:val="22"/>
                <w:lang w:val="lv-LV"/>
              </w:rPr>
              <w:t xml:space="preserve">Sēdi slēdz J.Gramsts plkst. 09:25. </w:t>
            </w:r>
          </w:p>
          <w:p w:rsidR="00A151FC" w:rsidRDefault="00A151FC" w:rsidP="00AD7E68">
            <w:pPr>
              <w:jc w:val="both"/>
              <w:rPr>
                <w:bCs/>
                <w:color w:val="000000" w:themeColor="text1"/>
                <w:sz w:val="22"/>
                <w:szCs w:val="22"/>
                <w:lang w:val="lv-LV"/>
              </w:rPr>
            </w:pPr>
          </w:p>
          <w:p w:rsidR="00A151FC" w:rsidRPr="00AD7E68" w:rsidRDefault="00A151FC" w:rsidP="00AD7E68">
            <w:pPr>
              <w:jc w:val="both"/>
              <w:rPr>
                <w:color w:val="000000" w:themeColor="text1"/>
                <w:sz w:val="22"/>
                <w:szCs w:val="22"/>
                <w:lang w:val="lv-LV"/>
              </w:rPr>
            </w:pPr>
          </w:p>
          <w:p w:rsidR="00B9440A" w:rsidRPr="003172AD" w:rsidRDefault="00B9440A" w:rsidP="001148AF">
            <w:pPr>
              <w:jc w:val="both"/>
              <w:rPr>
                <w:b/>
                <w:color w:val="000000" w:themeColor="text1"/>
                <w:sz w:val="22"/>
                <w:szCs w:val="22"/>
                <w:u w:val="single"/>
                <w:lang w:val="lv-LV"/>
              </w:rPr>
            </w:pPr>
          </w:p>
          <w:p w:rsidR="00B9440A" w:rsidRPr="003172AD" w:rsidRDefault="00B9440A" w:rsidP="001148AF">
            <w:pPr>
              <w:jc w:val="both"/>
              <w:rPr>
                <w:color w:val="000000" w:themeColor="text1"/>
                <w:sz w:val="22"/>
                <w:szCs w:val="22"/>
                <w:lang w:val="lv-LV"/>
              </w:rPr>
            </w:pPr>
            <w:r w:rsidRPr="003172AD">
              <w:rPr>
                <w:color w:val="000000" w:themeColor="text1"/>
                <w:sz w:val="22"/>
                <w:szCs w:val="22"/>
                <w:lang w:val="lv-LV"/>
              </w:rPr>
              <w:t>___________________J.Gramsts        ___________________S.Jurins     ___________________A.Pūtelis</w:t>
            </w:r>
          </w:p>
          <w:p w:rsidR="00B9440A" w:rsidRPr="000C5D9D" w:rsidRDefault="00B9440A" w:rsidP="001148AF">
            <w:pPr>
              <w:jc w:val="both"/>
              <w:rPr>
                <w:sz w:val="22"/>
                <w:szCs w:val="22"/>
                <w:lang w:val="lv-LV"/>
              </w:rPr>
            </w:pPr>
          </w:p>
        </w:tc>
        <w:tc>
          <w:tcPr>
            <w:tcW w:w="240" w:type="dxa"/>
          </w:tcPr>
          <w:p w:rsidR="00B9440A" w:rsidRPr="000C5D9D" w:rsidRDefault="00B9440A" w:rsidP="001148AF">
            <w:pPr>
              <w:tabs>
                <w:tab w:val="left" w:pos="2880"/>
                <w:tab w:val="left" w:pos="9000"/>
                <w:tab w:val="left" w:pos="9360"/>
                <w:tab w:val="left" w:pos="9575"/>
              </w:tabs>
              <w:jc w:val="both"/>
              <w:rPr>
                <w:sz w:val="22"/>
                <w:szCs w:val="22"/>
                <w:lang w:val="lv-LV"/>
              </w:rPr>
            </w:pPr>
          </w:p>
        </w:tc>
      </w:tr>
      <w:tr w:rsidR="00B9440A" w:rsidRPr="001F2916" w:rsidTr="003172AD">
        <w:trPr>
          <w:gridAfter w:val="2"/>
          <w:wAfter w:w="10346" w:type="dxa"/>
          <w:trHeight w:val="4338"/>
        </w:trPr>
        <w:tc>
          <w:tcPr>
            <w:tcW w:w="240" w:type="dxa"/>
          </w:tcPr>
          <w:p w:rsidR="00B9440A" w:rsidRPr="001F2916" w:rsidRDefault="00B9440A" w:rsidP="001148AF">
            <w:pPr>
              <w:tabs>
                <w:tab w:val="left" w:pos="2880"/>
                <w:tab w:val="left" w:pos="9000"/>
                <w:tab w:val="left" w:pos="9360"/>
                <w:tab w:val="left" w:pos="9575"/>
              </w:tabs>
              <w:jc w:val="both"/>
              <w:rPr>
                <w:color w:val="000000" w:themeColor="text1"/>
                <w:sz w:val="22"/>
                <w:szCs w:val="22"/>
                <w:lang w:val="lv-LV"/>
              </w:rPr>
            </w:pPr>
          </w:p>
        </w:tc>
      </w:tr>
    </w:tbl>
    <w:p w:rsidR="0000029D" w:rsidRDefault="0000029D" w:rsidP="003172AD"/>
    <w:sectPr w:rsidR="0000029D" w:rsidSect="001148AF">
      <w:headerReference w:type="default" r:id="rId8"/>
      <w:footerReference w:type="default" r:id="rId9"/>
      <w:pgSz w:w="12240" w:h="15840" w:code="1"/>
      <w:pgMar w:top="630" w:right="1080" w:bottom="45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8AF" w:rsidRDefault="001148AF">
      <w:r>
        <w:separator/>
      </w:r>
    </w:p>
  </w:endnote>
  <w:endnote w:type="continuationSeparator" w:id="0">
    <w:p w:rsidR="001148AF" w:rsidRDefault="0011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1148AF" w:rsidRDefault="001148AF">
        <w:pPr>
          <w:pStyle w:val="Footer"/>
          <w:jc w:val="right"/>
        </w:pPr>
        <w:r>
          <w:fldChar w:fldCharType="begin"/>
        </w:r>
        <w:r>
          <w:instrText xml:space="preserve"> PAGE   \* MERGEFORMAT </w:instrText>
        </w:r>
        <w:r>
          <w:fldChar w:fldCharType="separate"/>
        </w:r>
        <w:r w:rsidR="00A151FC">
          <w:rPr>
            <w:noProof/>
          </w:rPr>
          <w:t>1</w:t>
        </w:r>
        <w:r>
          <w:rPr>
            <w:noProof/>
          </w:rPr>
          <w:fldChar w:fldCharType="end"/>
        </w:r>
      </w:p>
    </w:sdtContent>
  </w:sdt>
  <w:p w:rsidR="001148AF" w:rsidRDefault="00114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8AF" w:rsidRDefault="001148AF">
      <w:r>
        <w:separator/>
      </w:r>
    </w:p>
  </w:footnote>
  <w:footnote w:type="continuationSeparator" w:id="0">
    <w:p w:rsidR="001148AF" w:rsidRDefault="00114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AF" w:rsidRDefault="001148AF">
    <w:pPr>
      <w:pStyle w:val="Header"/>
      <w:jc w:val="right"/>
    </w:pPr>
  </w:p>
  <w:p w:rsidR="001148AF" w:rsidRDefault="00114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4982"/>
    <w:multiLevelType w:val="hybridMultilevel"/>
    <w:tmpl w:val="AB6AB2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0F11C1D"/>
    <w:multiLevelType w:val="hybridMultilevel"/>
    <w:tmpl w:val="764A89BE"/>
    <w:lvl w:ilvl="0" w:tplc="883AC2E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59D5077A"/>
    <w:multiLevelType w:val="multilevel"/>
    <w:tmpl w:val="9EB6435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0A"/>
    <w:rsid w:val="0000029D"/>
    <w:rsid w:val="001148AF"/>
    <w:rsid w:val="00172C84"/>
    <w:rsid w:val="003172AD"/>
    <w:rsid w:val="00A151FC"/>
    <w:rsid w:val="00AD7E68"/>
    <w:rsid w:val="00B9440A"/>
    <w:rsid w:val="00CE69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85EC"/>
  <w15:chartTrackingRefBased/>
  <w15:docId w15:val="{7BBB471E-3C7D-412C-9CF6-B8868024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4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1">
    <w:name w:val="c1"/>
    <w:rsid w:val="00B9440A"/>
  </w:style>
  <w:style w:type="paragraph" w:styleId="ListParagraph">
    <w:name w:val="List Paragraph"/>
    <w:basedOn w:val="Normal"/>
    <w:link w:val="ListParagraphChar"/>
    <w:uiPriority w:val="34"/>
    <w:qFormat/>
    <w:rsid w:val="00B9440A"/>
    <w:pPr>
      <w:ind w:left="720"/>
      <w:contextualSpacing/>
    </w:pPr>
  </w:style>
  <w:style w:type="character" w:customStyle="1" w:styleId="ListParagraphChar">
    <w:name w:val="List Paragraph Char"/>
    <w:link w:val="ListParagraph"/>
    <w:uiPriority w:val="34"/>
    <w:locked/>
    <w:rsid w:val="00B9440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9440A"/>
    <w:pPr>
      <w:tabs>
        <w:tab w:val="center" w:pos="4153"/>
        <w:tab w:val="right" w:pos="8306"/>
      </w:tabs>
    </w:pPr>
  </w:style>
  <w:style w:type="character" w:customStyle="1" w:styleId="HeaderChar">
    <w:name w:val="Header Char"/>
    <w:basedOn w:val="DefaultParagraphFont"/>
    <w:link w:val="Header"/>
    <w:uiPriority w:val="99"/>
    <w:rsid w:val="00B9440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9440A"/>
    <w:pPr>
      <w:tabs>
        <w:tab w:val="center" w:pos="4153"/>
        <w:tab w:val="right" w:pos="8306"/>
      </w:tabs>
    </w:pPr>
  </w:style>
  <w:style w:type="character" w:customStyle="1" w:styleId="FooterChar">
    <w:name w:val="Footer Char"/>
    <w:basedOn w:val="DefaultParagraphFont"/>
    <w:link w:val="Footer"/>
    <w:uiPriority w:val="99"/>
    <w:rsid w:val="00B944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9440A"/>
    <w:rPr>
      <w:color w:val="0563C1" w:themeColor="hyperlink"/>
      <w:u w:val="single"/>
    </w:rPr>
  </w:style>
  <w:style w:type="paragraph" w:styleId="NormalWeb">
    <w:name w:val="Normal (Web)"/>
    <w:basedOn w:val="Normal"/>
    <w:uiPriority w:val="99"/>
    <w:semiHidden/>
    <w:unhideWhenUsed/>
    <w:rsid w:val="00CE69E4"/>
    <w:pPr>
      <w:spacing w:before="100" w:beforeAutospacing="1" w:after="100" w:afterAutospacing="1"/>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07970">
      <w:bodyDiv w:val="1"/>
      <w:marLeft w:val="0"/>
      <w:marRight w:val="0"/>
      <w:marTop w:val="0"/>
      <w:marBottom w:val="0"/>
      <w:divBdr>
        <w:top w:val="none" w:sz="0" w:space="0" w:color="auto"/>
        <w:left w:val="none" w:sz="0" w:space="0" w:color="auto"/>
        <w:bottom w:val="none" w:sz="0" w:space="0" w:color="auto"/>
        <w:right w:val="none" w:sz="0" w:space="0" w:color="auto"/>
      </w:divBdr>
    </w:div>
    <w:div w:id="179517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t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2475</Words>
  <Characters>1411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2</cp:revision>
  <dcterms:created xsi:type="dcterms:W3CDTF">2017-03-28T10:39:00Z</dcterms:created>
  <dcterms:modified xsi:type="dcterms:W3CDTF">2017-03-28T10:39:00Z</dcterms:modified>
</cp:coreProperties>
</file>