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D949F3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</w:t>
            </w:r>
            <w:r w:rsidRPr="004918EF"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ind w:right="-170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F4006D">
              <w:rPr>
                <w:b/>
                <w:bCs/>
                <w:sz w:val="22"/>
                <w:szCs w:val="22"/>
                <w:lang w:val="lv-LV"/>
              </w:rPr>
              <w:t xml:space="preserve"> “</w:t>
            </w:r>
            <w:r w:rsidR="007F6033" w:rsidRPr="007F6033">
              <w:rPr>
                <w:rFonts w:eastAsia="Calibri"/>
                <w:b/>
                <w:kern w:val="56"/>
                <w:sz w:val="22"/>
                <w:szCs w:val="22"/>
                <w:lang w:val="lv-LV" w:eastAsia="lv-LV"/>
              </w:rPr>
              <w:t>DARBA APĢĒRBU/UNIFORMU KOMFORTA TESTĒŠANAS PAKALPOJUMI</w:t>
            </w:r>
            <w:r w:rsidRPr="00F4006D">
              <w:rPr>
                <w:b/>
                <w:bCs/>
                <w:sz w:val="22"/>
                <w:szCs w:val="22"/>
                <w:lang w:val="lv-LV"/>
              </w:rPr>
              <w:t>”</w:t>
            </w:r>
          </w:p>
          <w:p w:rsidR="00D949F3" w:rsidRPr="004918EF" w:rsidRDefault="00D949F3" w:rsidP="00D949F3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4918EF">
              <w:rPr>
                <w:sz w:val="22"/>
                <w:szCs w:val="22"/>
                <w:lang w:val="lv-LV"/>
              </w:rPr>
              <w:t xml:space="preserve"> (i</w:t>
            </w:r>
            <w:r w:rsidR="007F6033">
              <w:rPr>
                <w:sz w:val="22"/>
                <w:szCs w:val="22"/>
                <w:lang w:val="lv-LV"/>
              </w:rPr>
              <w:t>dentifikācijas Nr. RTU – 2017/121</w:t>
            </w:r>
            <w:r w:rsidRPr="004918EF">
              <w:rPr>
                <w:sz w:val="22"/>
                <w:szCs w:val="22"/>
                <w:lang w:val="lv-LV"/>
              </w:rPr>
              <w:t>)</w:t>
            </w: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</w:t>
            </w:r>
            <w:r w:rsidR="009377AA">
              <w:rPr>
                <w:sz w:val="22"/>
                <w:szCs w:val="22"/>
                <w:lang w:val="lv-LV"/>
              </w:rPr>
              <w:t>r.2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 </w:t>
            </w: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Rīgā, Kaļķ</w:t>
            </w:r>
            <w:r w:rsidR="007F6033">
              <w:rPr>
                <w:sz w:val="22"/>
                <w:szCs w:val="22"/>
                <w:lang w:val="lv-LV"/>
              </w:rPr>
              <w:t>u ielā 1 – 322. telpā, plkst. 1</w:t>
            </w:r>
            <w:r w:rsidR="001D5351">
              <w:rPr>
                <w:sz w:val="22"/>
                <w:szCs w:val="22"/>
                <w:lang w:val="lv-LV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  <w:lang w:val="lv-LV"/>
              </w:rPr>
              <w:t xml:space="preserve">:00                                                                                         </w:t>
            </w:r>
            <w:r w:rsidR="007F6033">
              <w:rPr>
                <w:sz w:val="22"/>
                <w:szCs w:val="22"/>
                <w:lang w:val="lv-LV"/>
              </w:rPr>
              <w:t>05.01.2018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D949F3" w:rsidRDefault="00D949F3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9377AA" w:rsidRDefault="009377AA" w:rsidP="00D949F3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7263"/>
            </w:tblGrid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b/>
                      <w:sz w:val="22"/>
                      <w:szCs w:val="22"/>
                    </w:rPr>
                    <w:t>priekšsēdētājs</w:t>
                  </w:r>
                  <w:proofErr w:type="spellEnd"/>
                  <w:r w:rsidRPr="00364CE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Jevgēnijs Gramsts </w:t>
                  </w:r>
                </w:p>
              </w:tc>
              <w:tc>
                <w:tcPr>
                  <w:tcW w:w="7263" w:type="dxa"/>
                </w:tcPr>
                <w:p w:rsidR="00D949F3" w:rsidRPr="00364CE0" w:rsidRDefault="00D949F3" w:rsidP="00D949F3">
                  <w:pPr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Juridiskā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departamenta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nodaļas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vecākais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iepirkumu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>speciālists</w:t>
                  </w:r>
                  <w:proofErr w:type="spellEnd"/>
                  <w:r w:rsidRPr="00364CE0">
                    <w:rPr>
                      <w:rStyle w:val="c1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949F3" w:rsidRPr="00364CE0" w:rsidTr="009224DE">
              <w:trPr>
                <w:trHeight w:val="334"/>
              </w:trPr>
              <w:tc>
                <w:tcPr>
                  <w:tcW w:w="3085" w:type="dxa"/>
                </w:tcPr>
                <w:p w:rsidR="00D949F3" w:rsidRPr="0032617D" w:rsidRDefault="00D949F3" w:rsidP="00D949F3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Komisijas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2617D">
                    <w:rPr>
                      <w:b/>
                      <w:sz w:val="22"/>
                      <w:szCs w:val="22"/>
                    </w:rPr>
                    <w:t>locekļi</w:t>
                  </w:r>
                  <w:proofErr w:type="spellEnd"/>
                  <w:r w:rsidRPr="0032617D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63" w:type="dxa"/>
                </w:tcPr>
                <w:p w:rsidR="00D949F3" w:rsidRPr="0032617D" w:rsidRDefault="00D949F3" w:rsidP="00D949F3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Dana Beļakova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7F603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Apģērbu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tekstila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tehnoloģiju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katedras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asociētais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Evija Plone</w:t>
                  </w:r>
                </w:p>
              </w:tc>
              <w:tc>
                <w:tcPr>
                  <w:tcW w:w="7263" w:type="dxa"/>
                </w:tcPr>
                <w:p w:rsidR="00D949F3" w:rsidRPr="00901AE7" w:rsidRDefault="007F6033" w:rsidP="00D949F3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sagatvošanas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un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attīstības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nodaļas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projektu</w:t>
                  </w:r>
                  <w:proofErr w:type="spellEnd"/>
                  <w:r w:rsidR="00D949F3" w:rsidRPr="00901AE7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949F3" w:rsidRPr="00901AE7">
                    <w:rPr>
                      <w:bCs/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D949F3" w:rsidRPr="00364CE0" w:rsidTr="009224DE">
              <w:tc>
                <w:tcPr>
                  <w:tcW w:w="3085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63" w:type="dxa"/>
                </w:tcPr>
                <w:p w:rsidR="00D949F3" w:rsidRPr="00901AE7" w:rsidRDefault="00D949F3" w:rsidP="00D949F3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</w:p>
          <w:p w:rsidR="00D949F3" w:rsidRDefault="00D949F3" w:rsidP="00D949F3">
            <w:pPr>
              <w:jc w:val="both"/>
              <w:rPr>
                <w:sz w:val="22"/>
                <w:szCs w:val="22"/>
                <w:lang w:val="lv-LV"/>
              </w:rPr>
            </w:pPr>
            <w:r w:rsidRPr="00270D5A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7F6033">
              <w:rPr>
                <w:sz w:val="22"/>
                <w:szCs w:val="22"/>
                <w:lang w:val="lv-LV"/>
              </w:rPr>
              <w:t>finanšu prorektora</w:t>
            </w:r>
            <w:r w:rsidRPr="00270D5A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</w:rPr>
              <w:t xml:space="preserve">2017. </w:t>
            </w:r>
            <w:proofErr w:type="spellStart"/>
            <w:proofErr w:type="gramStart"/>
            <w:r>
              <w:rPr>
                <w:sz w:val="22"/>
                <w:szCs w:val="22"/>
              </w:rPr>
              <w:t>gada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F603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Pr="00270D5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F6033">
              <w:rPr>
                <w:sz w:val="22"/>
                <w:szCs w:val="22"/>
              </w:rPr>
              <w:t>novembra</w:t>
            </w:r>
            <w:proofErr w:type="spellEnd"/>
            <w:proofErr w:type="gram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rīkojumu</w:t>
            </w:r>
            <w:proofErr w:type="spellEnd"/>
            <w:r w:rsidR="007F6033">
              <w:rPr>
                <w:sz w:val="22"/>
                <w:szCs w:val="22"/>
              </w:rPr>
              <w:t xml:space="preserve"> </w:t>
            </w:r>
            <w:proofErr w:type="spellStart"/>
            <w:r w:rsidR="007F6033">
              <w:rPr>
                <w:sz w:val="22"/>
                <w:szCs w:val="22"/>
              </w:rPr>
              <w:t>Nr</w:t>
            </w:r>
            <w:proofErr w:type="spellEnd"/>
            <w:r w:rsidR="007F6033">
              <w:rPr>
                <w:sz w:val="22"/>
                <w:szCs w:val="22"/>
              </w:rPr>
              <w:t>. 03000-1.2/136</w:t>
            </w:r>
            <w:r w:rsidRPr="00270D5A">
              <w:rPr>
                <w:sz w:val="22"/>
                <w:szCs w:val="22"/>
                <w:lang w:val="lv-LV"/>
              </w:rPr>
              <w:t>.</w:t>
            </w:r>
          </w:p>
          <w:p w:rsidR="00BA7A7C" w:rsidRPr="005400EE" w:rsidRDefault="00BA7A7C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C86BE2" w:rsidP="00F53E95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Sēdes norise:</w:t>
            </w:r>
          </w:p>
          <w:p w:rsidR="00F53E95" w:rsidRPr="00DF738E" w:rsidRDefault="009377AA" w:rsidP="00DF738E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Gramsta informācija</w:t>
            </w:r>
          </w:p>
          <w:p w:rsidR="00700735" w:rsidRPr="00DF738E" w:rsidRDefault="00700735" w:rsidP="00700735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</w:p>
          <w:p w:rsidR="00F53E95" w:rsidRPr="005400EE" w:rsidRDefault="00F53E95" w:rsidP="00F53E95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3089C" w:rsidRPr="009377AA" w:rsidRDefault="00F53E95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F4006D">
              <w:rPr>
                <w:sz w:val="22"/>
                <w:szCs w:val="22"/>
                <w:lang w:val="lv-LV"/>
              </w:rPr>
              <w:t>Komisijas priekšsēdētājs J.</w:t>
            </w:r>
            <w:r w:rsidR="007F6033">
              <w:rPr>
                <w:sz w:val="22"/>
                <w:szCs w:val="22"/>
                <w:lang w:val="lv-LV"/>
              </w:rPr>
              <w:t xml:space="preserve"> </w:t>
            </w:r>
            <w:r w:rsidRPr="00F4006D">
              <w:rPr>
                <w:sz w:val="22"/>
                <w:szCs w:val="22"/>
                <w:lang w:val="lv-LV"/>
              </w:rPr>
              <w:t xml:space="preserve">Gramsts informē, ka 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ir </w:t>
            </w:r>
            <w:r w:rsidR="007F6033">
              <w:rPr>
                <w:sz w:val="22"/>
                <w:szCs w:val="22"/>
                <w:lang w:val="lv-LV"/>
              </w:rPr>
              <w:t>03.01.2018</w:t>
            </w:r>
            <w:r w:rsidR="009377AA">
              <w:rPr>
                <w:sz w:val="22"/>
                <w:szCs w:val="22"/>
                <w:lang w:val="lv-LV"/>
              </w:rPr>
              <w:t xml:space="preserve">. </w:t>
            </w:r>
            <w:r w:rsidR="007F6033">
              <w:rPr>
                <w:sz w:val="22"/>
                <w:szCs w:val="22"/>
                <w:lang w:val="lv-LV"/>
              </w:rPr>
              <w:t xml:space="preserve">elektroniski </w:t>
            </w:r>
            <w:r w:rsidR="009377AA">
              <w:rPr>
                <w:sz w:val="22"/>
                <w:szCs w:val="22"/>
                <w:lang w:val="lv-LV"/>
              </w:rPr>
              <w:t xml:space="preserve">ir </w:t>
            </w:r>
            <w:r w:rsidR="007F6033">
              <w:rPr>
                <w:sz w:val="22"/>
                <w:szCs w:val="22"/>
                <w:lang w:val="lv-LV"/>
              </w:rPr>
              <w:t>saņemti</w:t>
            </w:r>
            <w:r w:rsidR="005400EE" w:rsidRPr="00F4006D"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jautājumi</w:t>
            </w:r>
            <w:r w:rsidR="009377AA">
              <w:rPr>
                <w:sz w:val="22"/>
                <w:szCs w:val="22"/>
                <w:lang w:val="lv-LV"/>
              </w:rPr>
              <w:t xml:space="preserve"> no ieinteresētā piegādātāja par iepirkuma Nolikumu.</w:t>
            </w:r>
          </w:p>
          <w:p w:rsidR="009377AA" w:rsidRPr="009377AA" w:rsidRDefault="009377AA" w:rsidP="009377A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Komisijas locekļi iepazīstas ar jautājumu, apspriež atbildes projektu un, ņemot vērā Pasūtītāja pārstāvja </w:t>
            </w:r>
            <w:r w:rsidR="00530CB6">
              <w:rPr>
                <w:sz w:val="22"/>
                <w:szCs w:val="22"/>
                <w:lang w:val="lv-LV"/>
              </w:rPr>
              <w:t xml:space="preserve">            </w:t>
            </w:r>
            <w:r w:rsidR="007F6033">
              <w:rPr>
                <w:sz w:val="22"/>
                <w:szCs w:val="22"/>
                <w:lang w:val="lv-LV"/>
              </w:rPr>
              <w:t>I. Dāboliņas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03.01.2018. sniegto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7F6033">
              <w:rPr>
                <w:sz w:val="22"/>
                <w:szCs w:val="22"/>
                <w:lang w:val="lv-LV"/>
              </w:rPr>
              <w:t>informāciju, nolemj sniegt šādas atbildes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9377AA" w:rsidRDefault="009377AA" w:rsidP="009377AA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Question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1: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F6033">
              <w:rPr>
                <w:rFonts w:eastAsia="Calibri"/>
                <w:sz w:val="22"/>
                <w:szCs w:val="22"/>
              </w:rPr>
              <w:t>- Are the uniforms intended</w:t>
            </w:r>
            <w:proofErr w:type="gramEnd"/>
            <w:r w:rsidRPr="007F6033">
              <w:rPr>
                <w:rFonts w:eastAsia="Calibri"/>
                <w:sz w:val="22"/>
                <w:szCs w:val="22"/>
              </w:rPr>
              <w:t xml:space="preserve"> for cold or warm conditions?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Answer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1: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For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testing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field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uniforms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that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are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in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use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all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seasons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will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be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exposed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depending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use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of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other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layers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(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underwear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warm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lingerie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etc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.).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can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be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seen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in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specification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sets to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be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tested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are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different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and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their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use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varies.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Question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2: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7F6033">
              <w:rPr>
                <w:rFonts w:eastAsia="Calibri"/>
                <w:sz w:val="22"/>
                <w:szCs w:val="22"/>
              </w:rPr>
              <w:t>- For cold conditions</w:t>
            </w:r>
            <w:proofErr w:type="gramEnd"/>
            <w:r w:rsidRPr="007F6033">
              <w:rPr>
                <w:rFonts w:eastAsia="Calibri"/>
                <w:sz w:val="22"/>
                <w:szCs w:val="22"/>
              </w:rPr>
              <w:t xml:space="preserve"> we can evaluate the results using tables in standard EN 14058. For warm </w:t>
            </w:r>
            <w:proofErr w:type="gramStart"/>
            <w:r w:rsidRPr="007F6033">
              <w:rPr>
                <w:rFonts w:eastAsia="Calibri"/>
                <w:sz w:val="22"/>
                <w:szCs w:val="22"/>
              </w:rPr>
              <w:t>conditions</w:t>
            </w:r>
            <w:proofErr w:type="gramEnd"/>
            <w:r w:rsidRPr="007F6033">
              <w:rPr>
                <w:rFonts w:eastAsia="Calibri"/>
                <w:sz w:val="22"/>
                <w:szCs w:val="22"/>
              </w:rPr>
              <w:t xml:space="preserve"> we can use standard ISO 7933. Is it ok for you?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Answer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2: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Yes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,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You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can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use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this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standart.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Question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3: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r w:rsidRPr="007F6033">
              <w:rPr>
                <w:rFonts w:eastAsia="Calibri"/>
                <w:sz w:val="22"/>
                <w:szCs w:val="22"/>
              </w:rPr>
              <w:t>- It is mentioned “different climate and metabolic rates”. How many? Can you already specify? This is an important question to estimate the price of result evaluation.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F6033">
              <w:rPr>
                <w:rFonts w:eastAsia="Calibri"/>
                <w:sz w:val="22"/>
                <w:szCs w:val="22"/>
                <w:lang w:val="lv-LV"/>
              </w:rPr>
              <w:t>Answer</w:t>
            </w:r>
            <w:proofErr w:type="spellEnd"/>
            <w:r w:rsidRPr="007F6033">
              <w:rPr>
                <w:rFonts w:eastAsia="Calibri"/>
                <w:sz w:val="22"/>
                <w:szCs w:val="22"/>
                <w:lang w:val="lv-LV"/>
              </w:rPr>
              <w:t xml:space="preserve"> 3:</w:t>
            </w:r>
          </w:p>
          <w:p w:rsidR="007F6033" w:rsidRPr="007F6033" w:rsidRDefault="007F6033" w:rsidP="008404C0">
            <w:pPr>
              <w:jc w:val="both"/>
              <w:rPr>
                <w:rFonts w:eastAsia="Calibri"/>
                <w:sz w:val="22"/>
                <w:szCs w:val="22"/>
              </w:rPr>
            </w:pPr>
            <w:r w:rsidRPr="007F6033">
              <w:rPr>
                <w:rFonts w:eastAsia="Calibri"/>
                <w:sz w:val="22"/>
                <w:szCs w:val="22"/>
              </w:rPr>
              <w:t>According to standard procedures and ranges for cold and warm conditions.</w:t>
            </w:r>
          </w:p>
          <w:p w:rsidR="008404C0" w:rsidRDefault="008404C0" w:rsidP="00F00C85">
            <w:pPr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</w:p>
          <w:p w:rsidR="00F00C85" w:rsidRPr="003C704D" w:rsidRDefault="00F00C85" w:rsidP="00F00C85">
            <w:pPr>
              <w:jc w:val="both"/>
              <w:rPr>
                <w:b/>
                <w:sz w:val="22"/>
                <w:szCs w:val="22"/>
                <w:u w:val="single"/>
                <w:lang w:val="lv-LV"/>
              </w:rPr>
            </w:pPr>
            <w:r w:rsidRPr="003C704D">
              <w:rPr>
                <w:b/>
                <w:sz w:val="22"/>
                <w:szCs w:val="22"/>
                <w:u w:val="single"/>
                <w:lang w:val="lv-LV"/>
              </w:rPr>
              <w:t>Komisija nolemj:</w:t>
            </w:r>
          </w:p>
          <w:p w:rsidR="009377AA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</w:t>
            </w:r>
            <w:r w:rsidR="00226F92">
              <w:rPr>
                <w:sz w:val="22"/>
                <w:szCs w:val="22"/>
                <w:lang w:val="lv-LV"/>
              </w:rPr>
              <w:t>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226F92">
              <w:rPr>
                <w:sz w:val="22"/>
                <w:szCs w:val="22"/>
                <w:lang w:val="lv-LV"/>
              </w:rPr>
              <w:t>Gramstam</w:t>
            </w:r>
            <w:proofErr w:type="spellEnd"/>
            <w:r w:rsidR="00226F92">
              <w:rPr>
                <w:sz w:val="22"/>
                <w:szCs w:val="22"/>
                <w:lang w:val="lv-LV"/>
              </w:rPr>
              <w:t xml:space="preserve"> publicēt atbilstošus </w:t>
            </w:r>
            <w:r>
              <w:rPr>
                <w:sz w:val="22"/>
                <w:szCs w:val="22"/>
                <w:lang w:val="lv-LV"/>
              </w:rPr>
              <w:t>informāciju</w:t>
            </w:r>
            <w:r w:rsidR="00226F92">
              <w:rPr>
                <w:sz w:val="22"/>
                <w:szCs w:val="22"/>
                <w:lang w:val="lv-LV"/>
              </w:rPr>
              <w:t xml:space="preserve"> par </w:t>
            </w:r>
            <w:r>
              <w:rPr>
                <w:sz w:val="22"/>
                <w:szCs w:val="22"/>
                <w:lang w:val="lv-LV"/>
              </w:rPr>
              <w:t>komisijas sniegtajām atbildēm uz jautājumiem;</w:t>
            </w:r>
          </w:p>
          <w:p w:rsidR="00F00C85" w:rsidRPr="005400EE" w:rsidRDefault="009377AA" w:rsidP="00F00C85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uzdot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G</w:t>
            </w:r>
            <w:r w:rsidR="008404C0">
              <w:rPr>
                <w:sz w:val="22"/>
                <w:szCs w:val="22"/>
                <w:lang w:val="lv-LV"/>
              </w:rPr>
              <w:t>ramstam</w:t>
            </w:r>
            <w:proofErr w:type="spellEnd"/>
            <w:r w:rsidR="008404C0">
              <w:rPr>
                <w:sz w:val="22"/>
                <w:szCs w:val="22"/>
                <w:lang w:val="lv-LV"/>
              </w:rPr>
              <w:t xml:space="preserve"> informēt ieinteresēto piegādātāju par sniegtajām atbildēm</w:t>
            </w:r>
            <w:r>
              <w:rPr>
                <w:sz w:val="22"/>
                <w:szCs w:val="22"/>
                <w:lang w:val="lv-LV"/>
              </w:rPr>
              <w:t>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  <w:r w:rsidRPr="005400EE">
              <w:rPr>
                <w:sz w:val="20"/>
                <w:szCs w:val="20"/>
                <w:u w:val="single"/>
                <w:lang w:val="lv-LV"/>
              </w:rPr>
              <w:t>Pielikumā:</w:t>
            </w:r>
          </w:p>
          <w:p w:rsidR="00F00C85" w:rsidRPr="008404C0" w:rsidRDefault="008404C0" w:rsidP="008404C0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D.</w:t>
            </w:r>
            <w:r w:rsidR="009377AA" w:rsidRPr="008404C0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Dāboliņas 03.01.2018</w:t>
            </w:r>
            <w:r w:rsidR="009377AA" w:rsidRPr="008404C0">
              <w:rPr>
                <w:sz w:val="20"/>
                <w:szCs w:val="20"/>
                <w:lang w:val="lv-LV"/>
              </w:rPr>
              <w:t xml:space="preserve">. </w:t>
            </w:r>
            <w:r>
              <w:rPr>
                <w:sz w:val="20"/>
                <w:szCs w:val="20"/>
                <w:lang w:val="lv-LV"/>
              </w:rPr>
              <w:t>informācija.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J.</w:t>
            </w:r>
            <w:r w:rsidR="008404C0">
              <w:rPr>
                <w:sz w:val="22"/>
                <w:szCs w:val="22"/>
                <w:lang w:val="lv-LV"/>
              </w:rPr>
              <w:t xml:space="preserve"> </w:t>
            </w:r>
            <w:r w:rsidRPr="005400EE">
              <w:rPr>
                <w:sz w:val="22"/>
                <w:szCs w:val="22"/>
                <w:lang w:val="lv-LV"/>
              </w:rPr>
              <w:t>Gramsts, plkst.</w:t>
            </w:r>
            <w:r w:rsidR="008404C0">
              <w:rPr>
                <w:sz w:val="22"/>
                <w:szCs w:val="22"/>
                <w:lang w:val="lv-LV"/>
              </w:rPr>
              <w:t xml:space="preserve"> 10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9377AA">
              <w:rPr>
                <w:sz w:val="22"/>
                <w:szCs w:val="22"/>
                <w:lang w:val="lv-LV"/>
              </w:rPr>
              <w:t>1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F00C85" w:rsidRPr="005400EE" w:rsidRDefault="00F00C85" w:rsidP="00F00C85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E043CB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</w:p>
                <w:p w:rsidR="00F00C85" w:rsidRPr="005400EE" w:rsidRDefault="00F00C85" w:rsidP="00F00C85">
                  <w:pPr>
                    <w:rPr>
                      <w:sz w:val="22"/>
                      <w:szCs w:val="22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J.</w:t>
                  </w:r>
                  <w:r w:rsidR="00E043CB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r w:rsidRPr="005400EE">
                    <w:rPr>
                      <w:sz w:val="22"/>
                      <w:szCs w:val="22"/>
                      <w:lang w:val="lv-LV"/>
                    </w:rPr>
                    <w:t>Gramsts</w:t>
                  </w:r>
                </w:p>
              </w:tc>
            </w:tr>
            <w:tr w:rsidR="00F00C85" w:rsidRPr="005400EE" w:rsidTr="005650D0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F00C85" w:rsidRPr="005400EE" w:rsidTr="005650D0">
              <w:tc>
                <w:tcPr>
                  <w:tcW w:w="4050" w:type="dxa"/>
                </w:tcPr>
                <w:p w:rsidR="00F00C85" w:rsidRPr="005400EE" w:rsidRDefault="00F00C85" w:rsidP="00F00C8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F00C85" w:rsidRPr="005400EE" w:rsidRDefault="00F00C85" w:rsidP="00F00C85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8404C0" w:rsidRDefault="008404C0">
                  <w:r>
                    <w:t xml:space="preserve">  </w:t>
                  </w:r>
                  <w:r w:rsidR="00530CB6">
                    <w:t xml:space="preserve"> </w:t>
                  </w:r>
                  <w:r>
                    <w:t>D. Beļakova</w:t>
                  </w:r>
                </w:p>
                <w:p w:rsidR="008404C0" w:rsidRDefault="008404C0"/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F00C85" w:rsidRPr="005400EE" w:rsidTr="005650D0">
                    <w:tc>
                      <w:tcPr>
                        <w:tcW w:w="9464" w:type="dxa"/>
                      </w:tcPr>
                      <w:p w:rsidR="008404C0" w:rsidRDefault="008404C0"/>
                      <w:tbl>
                        <w:tblPr>
                          <w:tblW w:w="9464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Default="008404C0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E. Plone</w:t>
                              </w: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043CB" w:rsidRPr="00323057" w:rsidRDefault="00E043CB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E043CB" w:rsidRDefault="00F00C85" w:rsidP="00E043CB">
                              <w:pPr>
                                <w:pStyle w:val="ListParagrap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00C85" w:rsidRPr="00323057" w:rsidTr="005650D0">
                          <w:tc>
                            <w:tcPr>
                              <w:tcW w:w="9464" w:type="dxa"/>
                            </w:tcPr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F00C85" w:rsidRPr="00323057" w:rsidRDefault="00F00C85" w:rsidP="00F00C85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  <w:tr w:rsidR="00F00C85" w:rsidRPr="005400EE" w:rsidTr="005650D0">
                    <w:tc>
                      <w:tcPr>
                        <w:tcW w:w="9464" w:type="dxa"/>
                      </w:tcPr>
                      <w:p w:rsidR="00F00C85" w:rsidRDefault="00F00C85" w:rsidP="00F00C85"/>
                    </w:tc>
                  </w:tr>
                </w:tbl>
                <w:p w:rsidR="00F00C85" w:rsidRPr="005400EE" w:rsidRDefault="00F00C85" w:rsidP="00F00C85"/>
              </w:tc>
            </w:tr>
          </w:tbl>
          <w:p w:rsidR="00F00C85" w:rsidRPr="005400EE" w:rsidRDefault="00F00C85" w:rsidP="00F00C85">
            <w:pPr>
              <w:pStyle w:val="ListParagraph"/>
              <w:ind w:left="36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1F2916" w:rsidRPr="005400EE" w:rsidTr="00977487">
        <w:trPr>
          <w:trHeight w:val="5458"/>
        </w:trPr>
        <w:tc>
          <w:tcPr>
            <w:tcW w:w="10170" w:type="dxa"/>
            <w:shd w:val="clear" w:color="auto" w:fill="auto"/>
          </w:tcPr>
          <w:p w:rsidR="00597F81" w:rsidRPr="005400EE" w:rsidRDefault="00597F81" w:rsidP="00F00C85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597F81" w:rsidRPr="00977487" w:rsidRDefault="00597F81" w:rsidP="00977487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8B192B" w:rsidRPr="00A902A5" w:rsidRDefault="008B192B" w:rsidP="00220520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C" w:rsidRDefault="00435B0C" w:rsidP="004F6DA6">
      <w:r>
        <w:separator/>
      </w:r>
    </w:p>
  </w:endnote>
  <w:endnote w:type="continuationSeparator" w:id="0">
    <w:p w:rsidR="00435B0C" w:rsidRDefault="00435B0C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3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C" w:rsidRDefault="00435B0C" w:rsidP="004F6DA6">
      <w:r>
        <w:separator/>
      </w:r>
    </w:p>
  </w:footnote>
  <w:footnote w:type="continuationSeparator" w:id="0">
    <w:p w:rsidR="00435B0C" w:rsidRDefault="00435B0C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38A6F7C"/>
    <w:multiLevelType w:val="multilevel"/>
    <w:tmpl w:val="8E8069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8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16759"/>
    <w:multiLevelType w:val="hybridMultilevel"/>
    <w:tmpl w:val="76AE91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25EE7"/>
    <w:multiLevelType w:val="hybridMultilevel"/>
    <w:tmpl w:val="DD827908"/>
    <w:lvl w:ilvl="0" w:tplc="55C6FD8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2D4370"/>
    <w:multiLevelType w:val="hybridMultilevel"/>
    <w:tmpl w:val="EE8031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E13B6"/>
    <w:multiLevelType w:val="hybridMultilevel"/>
    <w:tmpl w:val="A6429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2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19"/>
  </w:num>
  <w:num w:numId="8">
    <w:abstractNumId w:val="33"/>
  </w:num>
  <w:num w:numId="9">
    <w:abstractNumId w:val="10"/>
  </w:num>
  <w:num w:numId="10">
    <w:abstractNumId w:val="29"/>
  </w:num>
  <w:num w:numId="11">
    <w:abstractNumId w:val="5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5"/>
  </w:num>
  <w:num w:numId="16">
    <w:abstractNumId w:val="8"/>
  </w:num>
  <w:num w:numId="17">
    <w:abstractNumId w:val="24"/>
  </w:num>
  <w:num w:numId="18">
    <w:abstractNumId w:val="12"/>
  </w:num>
  <w:num w:numId="19">
    <w:abstractNumId w:val="9"/>
  </w:num>
  <w:num w:numId="20">
    <w:abstractNumId w:val="20"/>
  </w:num>
  <w:num w:numId="21">
    <w:abstractNumId w:val="32"/>
  </w:num>
  <w:num w:numId="22">
    <w:abstractNumId w:val="26"/>
  </w:num>
  <w:num w:numId="23">
    <w:abstractNumId w:val="14"/>
  </w:num>
  <w:num w:numId="24">
    <w:abstractNumId w:val="16"/>
  </w:num>
  <w:num w:numId="25">
    <w:abstractNumId w:val="4"/>
  </w:num>
  <w:num w:numId="26">
    <w:abstractNumId w:val="2"/>
  </w:num>
  <w:num w:numId="27">
    <w:abstractNumId w:val="7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8"/>
  </w:num>
  <w:num w:numId="32">
    <w:abstractNumId w:val="6"/>
  </w:num>
  <w:num w:numId="33">
    <w:abstractNumId w:val="3"/>
  </w:num>
  <w:num w:numId="34">
    <w:abstractNumId w:val="17"/>
  </w:num>
  <w:num w:numId="35">
    <w:abstractNumId w:val="30"/>
  </w:num>
  <w:num w:numId="36">
    <w:abstractNumId w:val="0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89C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140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351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6F92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1DFF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9E4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04D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5B0C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0F7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8EF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CB6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AF0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64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735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B3F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033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4C0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12C8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9FC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4BA1"/>
    <w:rsid w:val="0093512D"/>
    <w:rsid w:val="00935466"/>
    <w:rsid w:val="00935879"/>
    <w:rsid w:val="00937125"/>
    <w:rsid w:val="009377AA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75A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70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6A7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A7C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2CEF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BE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1B73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027D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4A3C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9F3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38E"/>
    <w:rsid w:val="00DF7D13"/>
    <w:rsid w:val="00E002BB"/>
    <w:rsid w:val="00E019B5"/>
    <w:rsid w:val="00E0208C"/>
    <w:rsid w:val="00E03B49"/>
    <w:rsid w:val="00E03D68"/>
    <w:rsid w:val="00E043CB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415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35C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167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0C85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006D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0E7398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aliases w:val="Normal bullet 2,Bullet list"/>
    <w:basedOn w:val="Normal"/>
    <w:link w:val="ListParagraphChar"/>
    <w:uiPriority w:val="34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aliases w:val="Normal bullet 2 Char,Bullet list Char"/>
    <w:link w:val="ListParagraph"/>
    <w:uiPriority w:val="34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character" w:styleId="Hyperlink">
    <w:name w:val="Hyperlink"/>
    <w:uiPriority w:val="99"/>
    <w:rsid w:val="00E5335C"/>
    <w:rPr>
      <w:color w:val="0000FF"/>
      <w:u w:val="single"/>
    </w:rPr>
  </w:style>
  <w:style w:type="paragraph" w:customStyle="1" w:styleId="Text1">
    <w:name w:val="Text 1"/>
    <w:basedOn w:val="Normal"/>
    <w:rsid w:val="00E5335C"/>
    <w:pPr>
      <w:spacing w:before="240" w:line="240" w:lineRule="exact"/>
      <w:ind w:left="567"/>
      <w:jc w:val="both"/>
    </w:pPr>
    <w:rPr>
      <w:rFonts w:ascii="Cambria" w:eastAsia="Cambria" w:hAnsi="Cambria" w:cs="Cambria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4</cp:revision>
  <cp:lastPrinted>2017-05-18T08:48:00Z</cp:lastPrinted>
  <dcterms:created xsi:type="dcterms:W3CDTF">2018-01-05T09:30:00Z</dcterms:created>
  <dcterms:modified xsi:type="dcterms:W3CDTF">2018-01-05T09:35:00Z</dcterms:modified>
</cp:coreProperties>
</file>