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E67E" w14:textId="19A1906F" w:rsidR="00E40DC7" w:rsidRPr="00890E7E" w:rsidRDefault="00E40DC7" w:rsidP="00E40DC7">
      <w:pPr>
        <w:tabs>
          <w:tab w:val="num" w:pos="567"/>
        </w:tabs>
        <w:ind w:left="4500" w:right="38"/>
        <w:jc w:val="right"/>
        <w:rPr>
          <w:rFonts w:ascii="Times New Roman" w:hAnsi="Times New Roman" w:cs="Times New Roman"/>
          <w:b/>
          <w:sz w:val="24"/>
        </w:rPr>
      </w:pPr>
      <w:r w:rsidRPr="00890E7E">
        <w:rPr>
          <w:rFonts w:ascii="Times New Roman" w:hAnsi="Times New Roman" w:cs="Times New Roman"/>
          <w:sz w:val="20"/>
          <w:szCs w:val="20"/>
        </w:rPr>
        <w:t>Pielikums Nr.2</w:t>
      </w:r>
      <w:r>
        <w:rPr>
          <w:rFonts w:ascii="Times New Roman" w:hAnsi="Times New Roman" w:cs="Times New Roman"/>
          <w:sz w:val="20"/>
          <w:szCs w:val="20"/>
        </w:rPr>
        <w:t>.1</w:t>
      </w:r>
      <w:r w:rsidRPr="00890E7E">
        <w:rPr>
          <w:rFonts w:ascii="Times New Roman" w:hAnsi="Times New Roman" w:cs="Times New Roman"/>
          <w:b/>
          <w:sz w:val="24"/>
        </w:rPr>
        <w:t xml:space="preserve"> </w:t>
      </w:r>
    </w:p>
    <w:p w14:paraId="70E56E8D" w14:textId="77777777" w:rsidR="00E40DC7" w:rsidRPr="00890E7E" w:rsidRDefault="00E40DC7" w:rsidP="00E40DC7">
      <w:pPr>
        <w:tabs>
          <w:tab w:val="num" w:pos="567"/>
        </w:tabs>
        <w:ind w:left="4500" w:right="38"/>
        <w:jc w:val="right"/>
        <w:rPr>
          <w:rFonts w:ascii="Times New Roman" w:hAnsi="Times New Roman" w:cs="Times New Roman"/>
          <w:sz w:val="20"/>
          <w:szCs w:val="20"/>
        </w:rPr>
      </w:pPr>
      <w:r w:rsidRPr="00890E7E">
        <w:rPr>
          <w:rFonts w:ascii="Times New Roman" w:hAnsi="Times New Roman" w:cs="Times New Roman"/>
          <w:sz w:val="20"/>
          <w:szCs w:val="20"/>
        </w:rPr>
        <w:t>Nolikumam</w:t>
      </w:r>
    </w:p>
    <w:p w14:paraId="2CCEFDF3" w14:textId="61947D14" w:rsidR="00E40DC7" w:rsidRPr="009369E4" w:rsidRDefault="00E40DC7" w:rsidP="00E40DC7">
      <w:pPr>
        <w:ind w:left="4500" w:hanging="4500"/>
        <w:jc w:val="right"/>
        <w:rPr>
          <w:rFonts w:ascii="Times New Roman" w:hAnsi="Times New Roman" w:cs="Times New Roman"/>
          <w:sz w:val="20"/>
          <w:szCs w:val="20"/>
        </w:rPr>
      </w:pPr>
      <w:r w:rsidRPr="00890E7E">
        <w:rPr>
          <w:rFonts w:ascii="Times New Roman" w:hAnsi="Times New Roman" w:cs="Times New Roman"/>
          <w:sz w:val="20"/>
          <w:szCs w:val="20"/>
        </w:rPr>
        <w:t xml:space="preserve">ID Nr.: </w:t>
      </w:r>
      <w:r w:rsidRPr="009D0CD9">
        <w:rPr>
          <w:rFonts w:ascii="Times New Roman" w:hAnsi="Times New Roman" w:cs="Times New Roman"/>
          <w:sz w:val="20"/>
          <w:szCs w:val="20"/>
        </w:rPr>
        <w:t>RTU-201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0CD9">
        <w:rPr>
          <w:rFonts w:ascii="Times New Roman" w:hAnsi="Times New Roman" w:cs="Times New Roman"/>
          <w:sz w:val="20"/>
          <w:szCs w:val="20"/>
        </w:rPr>
        <w:t>/</w:t>
      </w:r>
      <w:r w:rsidR="00137CAF">
        <w:rPr>
          <w:rFonts w:ascii="Times New Roman" w:hAnsi="Times New Roman" w:cs="Times New Roman"/>
          <w:sz w:val="20"/>
          <w:szCs w:val="20"/>
        </w:rPr>
        <w:t>82</w:t>
      </w:r>
    </w:p>
    <w:p w14:paraId="0E8AA781" w14:textId="77777777" w:rsidR="00E40DC7" w:rsidRPr="001C0B6F" w:rsidRDefault="00E40DC7" w:rsidP="00E40DC7">
      <w:pPr>
        <w:jc w:val="center"/>
        <w:rPr>
          <w:rFonts w:ascii="Times New Roman" w:eastAsia="Calibri" w:hAnsi="Times New Roman"/>
        </w:rPr>
      </w:pPr>
      <w:r w:rsidRPr="001C0B6F">
        <w:rPr>
          <w:rFonts w:ascii="Times New Roman" w:eastAsia="Times New Roman" w:hAnsi="Times New Roman"/>
          <w:b/>
          <w:bCs/>
          <w:color w:val="000000"/>
        </w:rPr>
        <w:t>Tehniskā specifikācija</w:t>
      </w:r>
      <w:r>
        <w:rPr>
          <w:rFonts w:ascii="Times New Roman" w:eastAsia="Times New Roman" w:hAnsi="Times New Roman"/>
          <w:b/>
          <w:bCs/>
          <w:color w:val="000000"/>
        </w:rPr>
        <w:t xml:space="preserve"> – Tehniskais</w:t>
      </w:r>
      <w:r w:rsidRPr="001C0B6F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piedāvājums</w:t>
      </w:r>
    </w:p>
    <w:p w14:paraId="7848BDAD" w14:textId="77777777" w:rsidR="00E40DC7" w:rsidRPr="001C0B6F" w:rsidRDefault="00E40DC7" w:rsidP="00E40DC7">
      <w:pPr>
        <w:tabs>
          <w:tab w:val="num" w:pos="0"/>
        </w:tabs>
        <w:ind w:right="38"/>
        <w:jc w:val="center"/>
        <w:rPr>
          <w:rFonts w:ascii="Times New Roman" w:hAnsi="Times New Roman" w:cs="Times New Roman"/>
        </w:rPr>
      </w:pPr>
      <w:r w:rsidRPr="001C0B6F">
        <w:rPr>
          <w:rFonts w:ascii="Times New Roman" w:hAnsi="Times New Roman" w:cs="Times New Roman"/>
        </w:rPr>
        <w:t>(Pasūtītāja Tehniskā specif</w:t>
      </w:r>
      <w:r>
        <w:rPr>
          <w:rFonts w:ascii="Times New Roman" w:hAnsi="Times New Roman" w:cs="Times New Roman"/>
        </w:rPr>
        <w:t>ikācija, Pretendenta Tehniskā piedāvājuma forma</w:t>
      </w:r>
      <w:r w:rsidRPr="001C0B6F">
        <w:rPr>
          <w:rFonts w:ascii="Times New Roman" w:hAnsi="Times New Roman" w:cs="Times New Roman"/>
        </w:rPr>
        <w:t>)</w:t>
      </w:r>
    </w:p>
    <w:p w14:paraId="1D49E0B4" w14:textId="3DCEEADD" w:rsidR="00462542" w:rsidRDefault="00137CAF" w:rsidP="00137CAF">
      <w:pPr>
        <w:spacing w:after="12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7CAF">
        <w:rPr>
          <w:rFonts w:ascii="Times New Roman" w:eastAsia="Times New Roman" w:hAnsi="Times New Roman" w:cs="Times New Roman"/>
          <w:sz w:val="24"/>
          <w:szCs w:val="24"/>
          <w:lang w:eastAsia="lv-LV"/>
        </w:rPr>
        <w:t>RTU Transporta institūta specializēto laboratoriju pārvietošana</w:t>
      </w:r>
      <w:r w:rsidR="004625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Indriķa ielas 8a uz </w:t>
      </w:r>
      <w:proofErr w:type="spellStart"/>
      <w:r w:rsidR="00462542">
        <w:rPr>
          <w:rFonts w:ascii="Times New Roman" w:eastAsia="Times New Roman" w:hAnsi="Times New Roman" w:cs="Times New Roman"/>
          <w:sz w:val="24"/>
          <w:szCs w:val="24"/>
          <w:lang w:eastAsia="lv-LV"/>
        </w:rPr>
        <w:t>Āzenes</w:t>
      </w:r>
      <w:proofErr w:type="spellEnd"/>
      <w:r w:rsidR="004625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</w:t>
      </w:r>
      <w:r w:rsidR="00F2280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E40D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12, Rīgā,:</w:t>
      </w: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043"/>
        <w:gridCol w:w="6486"/>
        <w:gridCol w:w="3685"/>
      </w:tblGrid>
      <w:tr w:rsidR="00462542" w:rsidRPr="00462542" w14:paraId="5E2D65B6" w14:textId="77777777" w:rsidTr="002E2331">
        <w:trPr>
          <w:jc w:val="center"/>
        </w:trPr>
        <w:tc>
          <w:tcPr>
            <w:tcW w:w="822" w:type="dxa"/>
            <w:shd w:val="clear" w:color="auto" w:fill="F2F2F2" w:themeFill="background1" w:themeFillShade="F2"/>
          </w:tcPr>
          <w:p w14:paraId="363E23F2" w14:textId="1625130E" w:rsidR="00462542" w:rsidRPr="00E40DC7" w:rsidRDefault="00FE031A" w:rsidP="00FE031A">
            <w:pPr>
              <w:rPr>
                <w:rFonts w:ascii="Times New Roman" w:hAnsi="Times New Roman"/>
                <w:b/>
              </w:rPr>
            </w:pPr>
            <w:proofErr w:type="spellStart"/>
            <w:r w:rsidRPr="00E40DC7">
              <w:rPr>
                <w:rFonts w:ascii="Times New Roman" w:hAnsi="Times New Roman"/>
                <w:b/>
              </w:rPr>
              <w:t>DaļasNr</w:t>
            </w:r>
            <w:proofErr w:type="spellEnd"/>
            <w:r w:rsidRPr="00E40DC7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14:paraId="08F5CA7E" w14:textId="5040FD03" w:rsidR="00462542" w:rsidRPr="00E40DC7" w:rsidRDefault="00FE031A" w:rsidP="00FE031A">
            <w:pPr>
              <w:rPr>
                <w:rFonts w:ascii="Times New Roman" w:hAnsi="Times New Roman"/>
                <w:b/>
              </w:rPr>
            </w:pPr>
            <w:r w:rsidRPr="00E40DC7">
              <w:rPr>
                <w:rFonts w:ascii="Times New Roman" w:hAnsi="Times New Roman"/>
                <w:b/>
              </w:rPr>
              <w:t>L</w:t>
            </w:r>
            <w:r w:rsidR="00462542" w:rsidRPr="00E40DC7">
              <w:rPr>
                <w:rFonts w:ascii="Times New Roman" w:hAnsi="Times New Roman"/>
                <w:b/>
              </w:rPr>
              <w:t>aboratorijas nosaukums</w:t>
            </w:r>
          </w:p>
        </w:tc>
        <w:tc>
          <w:tcPr>
            <w:tcW w:w="6486" w:type="dxa"/>
            <w:shd w:val="clear" w:color="auto" w:fill="F2F2F2" w:themeFill="background1" w:themeFillShade="F2"/>
          </w:tcPr>
          <w:p w14:paraId="5865F380" w14:textId="5111F4B0" w:rsidR="00462542" w:rsidRPr="00E40DC7" w:rsidRDefault="00E40DC7" w:rsidP="00E40DC7">
            <w:pPr>
              <w:jc w:val="center"/>
              <w:rPr>
                <w:rFonts w:ascii="Times New Roman" w:hAnsi="Times New Roman"/>
                <w:b/>
              </w:rPr>
            </w:pPr>
            <w:r w:rsidRPr="00E40DC7">
              <w:rPr>
                <w:rFonts w:ascii="Times New Roman" w:hAnsi="Times New Roman"/>
                <w:b/>
              </w:rPr>
              <w:t>Pasūtītāja Tehniskā specifikācija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46D3F97" w14:textId="0ABC146E" w:rsidR="00462542" w:rsidRPr="00E40DC7" w:rsidRDefault="00E40DC7" w:rsidP="00493118">
            <w:pPr>
              <w:jc w:val="center"/>
              <w:rPr>
                <w:rFonts w:ascii="Times New Roman" w:hAnsi="Times New Roman"/>
                <w:b/>
              </w:rPr>
            </w:pPr>
            <w:r w:rsidRPr="00E40DC7">
              <w:rPr>
                <w:rFonts w:ascii="Times New Roman" w:hAnsi="Times New Roman"/>
                <w:b/>
              </w:rPr>
              <w:t>Pretendenta Tehniskais piedāvājums</w:t>
            </w:r>
            <w:r w:rsidR="00FC40B1">
              <w:rPr>
                <w:rFonts w:ascii="Times New Roman" w:hAnsi="Times New Roman"/>
                <w:b/>
              </w:rPr>
              <w:t>*</w:t>
            </w:r>
          </w:p>
        </w:tc>
      </w:tr>
      <w:tr w:rsidR="0055331F" w:rsidRPr="00462542" w14:paraId="14A46C00" w14:textId="77777777" w:rsidTr="002E2331">
        <w:trPr>
          <w:trHeight w:val="5094"/>
          <w:jc w:val="center"/>
        </w:trPr>
        <w:tc>
          <w:tcPr>
            <w:tcW w:w="822" w:type="dxa"/>
          </w:tcPr>
          <w:p w14:paraId="7EC234E2" w14:textId="2B038F5F" w:rsidR="0055331F" w:rsidRPr="00462542" w:rsidRDefault="00137CAF" w:rsidP="00EF2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</w:tcPr>
          <w:p w14:paraId="7B73B15E" w14:textId="77777777" w:rsidR="0055331F" w:rsidRPr="00462542" w:rsidRDefault="0055331F" w:rsidP="00EF294E">
            <w:pPr>
              <w:jc w:val="both"/>
              <w:rPr>
                <w:rFonts w:ascii="Times New Roman" w:hAnsi="Times New Roman"/>
              </w:rPr>
            </w:pPr>
            <w:r w:rsidRPr="00C92877">
              <w:rPr>
                <w:rFonts w:ascii="Times New Roman" w:hAnsi="Times New Roman"/>
                <w:bCs/>
              </w:rPr>
              <w:t>Dzelzceļa tīkla fizikālās imitācijas modeļa laboratorija</w:t>
            </w:r>
          </w:p>
        </w:tc>
        <w:tc>
          <w:tcPr>
            <w:tcW w:w="6486" w:type="dxa"/>
          </w:tcPr>
          <w:p w14:paraId="340F5E07" w14:textId="363DA1A0" w:rsidR="0055331F" w:rsidRDefault="0055331F" w:rsidP="00F2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7FA">
              <w:rPr>
                <w:rFonts w:ascii="Times New Roman" w:hAnsi="Times New Roman"/>
              </w:rPr>
              <w:t>Dzelzceļa tīkla fizikālais imitācijas mod</w:t>
            </w:r>
            <w:r w:rsidR="00F834A0">
              <w:rPr>
                <w:rFonts w:ascii="Times New Roman" w:hAnsi="Times New Roman"/>
              </w:rPr>
              <w:t>elis, kas izvietots apmēram 75m</w:t>
            </w:r>
            <w:r w:rsidR="00F834A0">
              <w:rPr>
                <w:rFonts w:ascii="Times New Roman" w:hAnsi="Times New Roman"/>
                <w:vertAlign w:val="superscript"/>
              </w:rPr>
              <w:t>2</w:t>
            </w:r>
            <w:r w:rsidRPr="007457FA">
              <w:rPr>
                <w:rFonts w:ascii="Times New Roman" w:hAnsi="Times New Roman"/>
              </w:rPr>
              <w:t xml:space="preserve"> platībā, ir aprīkots ar automātiskiem sliežu ceļa pārvadiem, luksoforiem, pārbrauktuvēm un citiem dzelzceļa elementiem, kuri tiek vadīti no programmējama kontrolleru klastera, bet procesa norise</w:t>
            </w:r>
            <w:r>
              <w:rPr>
                <w:rFonts w:ascii="Times New Roman" w:hAnsi="Times New Roman"/>
              </w:rPr>
              <w:t xml:space="preserve">, pateicoties </w:t>
            </w:r>
            <w:proofErr w:type="spellStart"/>
            <w:r>
              <w:rPr>
                <w:rFonts w:ascii="Times New Roman" w:hAnsi="Times New Roman"/>
              </w:rPr>
              <w:t>WinCC</w:t>
            </w:r>
            <w:proofErr w:type="spellEnd"/>
            <w:r>
              <w:rPr>
                <w:rFonts w:ascii="Times New Roman" w:hAnsi="Times New Roman"/>
              </w:rPr>
              <w:t xml:space="preserve"> platformai, </w:t>
            </w:r>
            <w:r w:rsidRPr="007457FA">
              <w:rPr>
                <w:rFonts w:ascii="Times New Roman" w:hAnsi="Times New Roman"/>
              </w:rPr>
              <w:t xml:space="preserve">tiek atspoguļota vairākos ekrānos un uz </w:t>
            </w:r>
            <w:proofErr w:type="spellStart"/>
            <w:r w:rsidRPr="007457FA">
              <w:rPr>
                <w:rFonts w:ascii="Times New Roman" w:hAnsi="Times New Roman"/>
              </w:rPr>
              <w:t>videosienas</w:t>
            </w:r>
            <w:proofErr w:type="spellEnd"/>
            <w:r w:rsidRPr="007457FA">
              <w:rPr>
                <w:rFonts w:ascii="Times New Roman" w:hAnsi="Times New Roman"/>
              </w:rPr>
              <w:t>. Augsti efektīvu pr</w:t>
            </w:r>
            <w:r>
              <w:rPr>
                <w:rFonts w:ascii="Times New Roman" w:hAnsi="Times New Roman"/>
              </w:rPr>
              <w:t>ogrammējamo kontrolleru klasteris</w:t>
            </w:r>
            <w:r w:rsidRPr="007457FA">
              <w:rPr>
                <w:rFonts w:ascii="Times New Roman" w:hAnsi="Times New Roman"/>
              </w:rPr>
              <w:t>, kur ietilpst dažādi saimes „SIEMENS S7</w:t>
            </w:r>
            <w:r>
              <w:rPr>
                <w:rFonts w:ascii="Times New Roman" w:hAnsi="Times New Roman"/>
              </w:rPr>
              <w:t>-1200</w:t>
            </w:r>
            <w:r w:rsidRPr="007457FA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un </w:t>
            </w:r>
            <w:r w:rsidRPr="007457FA">
              <w:rPr>
                <w:rFonts w:ascii="Times New Roman" w:hAnsi="Times New Roman"/>
              </w:rPr>
              <w:t xml:space="preserve"> „SIEMENS S7</w:t>
            </w:r>
            <w:r>
              <w:rPr>
                <w:rFonts w:ascii="Times New Roman" w:hAnsi="Times New Roman"/>
              </w:rPr>
              <w:t>-300</w:t>
            </w:r>
            <w:r w:rsidRPr="007457FA">
              <w:rPr>
                <w:rFonts w:ascii="Times New Roman" w:hAnsi="Times New Roman"/>
              </w:rPr>
              <w:t>”kontrolleri</w:t>
            </w:r>
            <w:r>
              <w:rPr>
                <w:rFonts w:ascii="Times New Roman" w:hAnsi="Times New Roman"/>
              </w:rPr>
              <w:t xml:space="preserve"> </w:t>
            </w:r>
            <w:r w:rsidRPr="007457FA">
              <w:rPr>
                <w:rFonts w:ascii="Times New Roman" w:hAnsi="Times New Roman"/>
              </w:rPr>
              <w:t>programmēšana un realizācija</w:t>
            </w:r>
            <w:r>
              <w:rPr>
                <w:rFonts w:ascii="Times New Roman" w:hAnsi="Times New Roman"/>
              </w:rPr>
              <w:t xml:space="preserve"> izveidota TIA-</w:t>
            </w:r>
            <w:proofErr w:type="spellStart"/>
            <w:r>
              <w:rPr>
                <w:rFonts w:ascii="Times New Roman" w:hAnsi="Times New Roman"/>
              </w:rPr>
              <w:t>Portal</w:t>
            </w:r>
            <w:proofErr w:type="spellEnd"/>
            <w:r>
              <w:rPr>
                <w:rFonts w:ascii="Times New Roman" w:hAnsi="Times New Roman"/>
              </w:rPr>
              <w:t xml:space="preserve"> V13 versija.</w:t>
            </w:r>
          </w:p>
          <w:p w14:paraId="28E235F0" w14:textId="2875DFAF" w:rsidR="0055331F" w:rsidRPr="00F834A0" w:rsidRDefault="0055331F" w:rsidP="00F2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Laboratorijas stenda elementus, iekārtas un moduļus jāpārvieto</w:t>
            </w:r>
            <w:r w:rsidR="00F834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ņemot vērā iespējamo pārkonfigurēšanu atbilstoši jaunajai telpai un specifikai.</w:t>
            </w:r>
            <w:r w:rsidR="00F834A0">
              <w:rPr>
                <w:rFonts w:ascii="Times New Roman" w:hAnsi="Times New Roman"/>
              </w:rPr>
              <w:t xml:space="preserve"> </w:t>
            </w:r>
            <w:r w:rsidR="00F834A0" w:rsidRPr="00F834A0">
              <w:rPr>
                <w:rFonts w:ascii="Times New Roman" w:hAnsi="Times New Roman"/>
                <w:b/>
              </w:rPr>
              <w:t>Pretendentam jānodrošina objektu pārvešanu, iekraušanu, izkraušanu un piegādi norādītajā vietā.</w:t>
            </w:r>
          </w:p>
          <w:p w14:paraId="093BF03D" w14:textId="7B316D62" w:rsidR="0055331F" w:rsidRPr="00462542" w:rsidRDefault="0055331F" w:rsidP="00F2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7FA">
              <w:rPr>
                <w:rFonts w:ascii="Times New Roman" w:hAnsi="Times New Roman"/>
              </w:rPr>
              <w:t xml:space="preserve">Atbilstoši jaunās telpas izmēriem un konfigurācijai ir jāpārplāno un jāuzstāda </w:t>
            </w:r>
            <w:r w:rsidR="00F94AF2">
              <w:rPr>
                <w:rFonts w:ascii="Times New Roman" w:hAnsi="Times New Roman"/>
              </w:rPr>
              <w:t>laboratorijas galda virsma no 10</w:t>
            </w:r>
            <w:r w:rsidRPr="007457FA">
              <w:rPr>
                <w:rFonts w:ascii="Times New Roman" w:hAnsi="Times New Roman"/>
              </w:rPr>
              <w:t xml:space="preserve"> mm bieza finiera ar nepieciešamo </w:t>
            </w:r>
            <w:r>
              <w:rPr>
                <w:rFonts w:ascii="Times New Roman" w:hAnsi="Times New Roman"/>
              </w:rPr>
              <w:t xml:space="preserve">koka </w:t>
            </w:r>
            <w:proofErr w:type="spellStart"/>
            <w:r>
              <w:rPr>
                <w:rFonts w:ascii="Times New Roman" w:hAnsi="Times New Roman"/>
              </w:rPr>
              <w:t>apakškonstrukciju</w:t>
            </w:r>
            <w:proofErr w:type="spellEnd"/>
            <w:r>
              <w:rPr>
                <w:rFonts w:ascii="Times New Roman" w:hAnsi="Times New Roman"/>
              </w:rPr>
              <w:t xml:space="preserve"> balstu, kam jā</w:t>
            </w:r>
            <w:r w:rsidR="00F834A0">
              <w:rPr>
                <w:rFonts w:ascii="Times New Roman" w:hAnsi="Times New Roman"/>
              </w:rPr>
              <w:t>nodrošina minimālo slodzi uz 1m</w:t>
            </w:r>
            <w:r w:rsidR="00F834A0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ne mazāk kā 120 kg, un vienlaicīgi būtu iespēja pārvietoties zem galda virsmas un piekļūt pie jebkuras galda virsmas apakšdaļas. Ir jānodrošina vadu un spaiļu stiprinājumi un izvietojuma iespējas.</w:t>
            </w:r>
          </w:p>
        </w:tc>
        <w:tc>
          <w:tcPr>
            <w:tcW w:w="3685" w:type="dxa"/>
          </w:tcPr>
          <w:p w14:paraId="52C2C24A" w14:textId="77777777" w:rsidR="0055331F" w:rsidRPr="00462542" w:rsidRDefault="0055331F" w:rsidP="00F2280E">
            <w:pPr>
              <w:rPr>
                <w:rFonts w:ascii="Times New Roman" w:hAnsi="Times New Roman"/>
              </w:rPr>
            </w:pPr>
          </w:p>
        </w:tc>
      </w:tr>
      <w:tr w:rsidR="00560B37" w:rsidRPr="00462542" w14:paraId="3684043D" w14:textId="77777777" w:rsidTr="002E2331">
        <w:trPr>
          <w:jc w:val="center"/>
        </w:trPr>
        <w:tc>
          <w:tcPr>
            <w:tcW w:w="822" w:type="dxa"/>
          </w:tcPr>
          <w:p w14:paraId="0F868360" w14:textId="0E716BF1" w:rsidR="00560B37" w:rsidRPr="00462542" w:rsidRDefault="00137CAF" w:rsidP="00EF2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3" w:type="dxa"/>
          </w:tcPr>
          <w:p w14:paraId="366AAF86" w14:textId="32F2D241" w:rsidR="00560B37" w:rsidRPr="00C92877" w:rsidRDefault="00560B37" w:rsidP="00C92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0B37">
              <w:rPr>
                <w:rFonts w:ascii="Times New Roman" w:hAnsi="Times New Roman"/>
                <w:color w:val="000000"/>
              </w:rPr>
              <w:t>Negra</w:t>
            </w:r>
            <w:r w:rsidR="009004A3">
              <w:rPr>
                <w:rFonts w:ascii="Times New Roman" w:hAnsi="Times New Roman"/>
                <w:color w:val="000000"/>
              </w:rPr>
              <w:t>ujošā</w:t>
            </w:r>
            <w:r w:rsidR="00453AF0">
              <w:rPr>
                <w:rFonts w:ascii="Times New Roman" w:hAnsi="Times New Roman"/>
                <w:color w:val="000000"/>
              </w:rPr>
              <w:t>s</w:t>
            </w:r>
            <w:r w:rsidR="009004A3">
              <w:rPr>
                <w:rFonts w:ascii="Times New Roman" w:hAnsi="Times New Roman"/>
                <w:color w:val="000000"/>
              </w:rPr>
              <w:t xml:space="preserve"> kontrole</w:t>
            </w:r>
            <w:r w:rsidR="00453AF0">
              <w:rPr>
                <w:rFonts w:ascii="Times New Roman" w:hAnsi="Times New Roman"/>
                <w:color w:val="000000"/>
              </w:rPr>
              <w:t>s</w:t>
            </w:r>
            <w:r w:rsidR="009004A3">
              <w:rPr>
                <w:rFonts w:ascii="Times New Roman" w:hAnsi="Times New Roman"/>
                <w:color w:val="000000"/>
              </w:rPr>
              <w:t xml:space="preserve"> un Jaudas pārvadu</w:t>
            </w:r>
            <w:r w:rsidRPr="00560B37">
              <w:rPr>
                <w:rFonts w:ascii="Times New Roman" w:hAnsi="Times New Roman"/>
                <w:color w:val="000000"/>
              </w:rPr>
              <w:t xml:space="preserve"> un </w:t>
            </w:r>
            <w:r w:rsidRPr="00560B37">
              <w:rPr>
                <w:rFonts w:ascii="Times New Roman" w:hAnsi="Times New Roman"/>
                <w:color w:val="000000"/>
              </w:rPr>
              <w:lastRenderedPageBreak/>
              <w:t>elektroiekārtas</w:t>
            </w:r>
            <w:r w:rsidR="009004A3">
              <w:rPr>
                <w:rFonts w:ascii="Times New Roman" w:hAnsi="Times New Roman"/>
                <w:color w:val="000000"/>
              </w:rPr>
              <w:t xml:space="preserve"> laboratorija</w:t>
            </w:r>
          </w:p>
        </w:tc>
        <w:tc>
          <w:tcPr>
            <w:tcW w:w="6486" w:type="dxa"/>
          </w:tcPr>
          <w:p w14:paraId="55EED182" w14:textId="396E8B86" w:rsidR="000A3F8B" w:rsidRPr="000A3F8B" w:rsidRDefault="000A3F8B" w:rsidP="000A3F8B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lastRenderedPageBreak/>
              <w:t>Pārvietojamais objekts sastāv no:</w:t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B87FED4" w14:textId="77777777" w:rsid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Jaudas pārvadu laboratorijas stenda - </w:t>
            </w:r>
            <w:proofErr w:type="spellStart"/>
            <w:r w:rsidRPr="000A3F8B">
              <w:rPr>
                <w:rFonts w:ascii="Times New Roman" w:hAnsi="Times New Roman"/>
                <w:sz w:val="22"/>
                <w:szCs w:val="22"/>
              </w:rPr>
              <w:t>dīzeļģenerators</w:t>
            </w:r>
            <w:proofErr w:type="spellEnd"/>
            <w:r w:rsidRPr="000A3F8B">
              <w:rPr>
                <w:rFonts w:ascii="Times New Roman" w:hAnsi="Times New Roman"/>
                <w:sz w:val="22"/>
                <w:szCs w:val="22"/>
              </w:rPr>
              <w:t>, aparātu kamera, vadības pults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79DF5BFC" w14:textId="60EB6606" w:rsidR="000A3F8B" w:rsidRP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 xml:space="preserve">2. Pneimatisko bremžu laboratorijas stends - 4 lokomotīves kabīnes vadības aprīkojuma komplekti (dažādi), 5 vagonu </w:t>
            </w:r>
            <w:proofErr w:type="spellStart"/>
            <w:r w:rsidRPr="000A3F8B">
              <w:rPr>
                <w:rFonts w:ascii="Times New Roman" w:hAnsi="Times New Roman"/>
                <w:sz w:val="22"/>
                <w:szCs w:val="22"/>
              </w:rPr>
              <w:t>pneimoiekārtu</w:t>
            </w:r>
            <w:proofErr w:type="spellEnd"/>
            <w:r w:rsidRPr="000A3F8B">
              <w:rPr>
                <w:rFonts w:ascii="Times New Roman" w:hAnsi="Times New Roman"/>
                <w:sz w:val="22"/>
                <w:szCs w:val="22"/>
              </w:rPr>
              <w:t xml:space="preserve"> komplekti (dažādi)</w:t>
            </w:r>
            <w:r w:rsidR="00F94AF2">
              <w:rPr>
                <w:rFonts w:ascii="Times New Roman" w:hAnsi="Times New Roman"/>
                <w:sz w:val="22"/>
                <w:szCs w:val="22"/>
              </w:rPr>
              <w:t>.</w:t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8D8BCB9" w14:textId="7A425E3B" w:rsidR="000A3F8B" w:rsidRP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0A3F8B">
              <w:rPr>
                <w:rFonts w:ascii="Times New Roman" w:hAnsi="Times New Roman"/>
                <w:sz w:val="22"/>
                <w:szCs w:val="22"/>
              </w:rPr>
              <w:t>Elektropneimatisko</w:t>
            </w:r>
            <w:proofErr w:type="spellEnd"/>
            <w:r w:rsidRPr="000A3F8B">
              <w:rPr>
                <w:rFonts w:ascii="Times New Roman" w:hAnsi="Times New Roman"/>
                <w:sz w:val="22"/>
                <w:szCs w:val="22"/>
              </w:rPr>
              <w:t xml:space="preserve"> bremžu laboratorijas stends - darbojas mijiedarbībā ar pneimatisko bremžu stendu, tajā skaitā dažādiem variantiem.</w:t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59DB5EF" w14:textId="41B5E5EC" w:rsid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>4. ALSN laboratorijas stends - sliežu kodu sastādīšanas daļa, modelis/kodu uztvērējs un atbilstošais lokomotīves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aprīkojums, EPV aprīkojums</w:t>
            </w:r>
            <w:r w:rsidR="00F94AF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40F09A4" w14:textId="6011B0C6" w:rsidR="000A3F8B" w:rsidRP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proofErr w:type="spellStart"/>
            <w:r w:rsidRPr="000A3F8B">
              <w:rPr>
                <w:rFonts w:ascii="Times New Roman" w:hAnsi="Times New Roman"/>
                <w:sz w:val="22"/>
                <w:szCs w:val="22"/>
              </w:rPr>
              <w:t>Palīgaprīkojums</w:t>
            </w:r>
            <w:proofErr w:type="spellEnd"/>
            <w:r w:rsidRPr="000A3F8B">
              <w:rPr>
                <w:rFonts w:ascii="Times New Roman" w:hAnsi="Times New Roman"/>
                <w:sz w:val="22"/>
                <w:szCs w:val="22"/>
              </w:rPr>
              <w:t>, piederumi un instrumenti</w:t>
            </w:r>
            <w:r w:rsidR="00F94AF2">
              <w:rPr>
                <w:rFonts w:ascii="Times New Roman" w:hAnsi="Times New Roman"/>
                <w:sz w:val="22"/>
                <w:szCs w:val="22"/>
              </w:rPr>
              <w:t>.</w:t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69101E36" w14:textId="252633D6" w:rsidR="00F834A0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 xml:space="preserve">6. Negraujošās kontroles laboratorijas paraugi - </w:t>
            </w:r>
            <w:proofErr w:type="spellStart"/>
            <w:r w:rsidRPr="000A3F8B">
              <w:rPr>
                <w:rFonts w:ascii="Times New Roman" w:hAnsi="Times New Roman"/>
                <w:sz w:val="22"/>
                <w:szCs w:val="22"/>
              </w:rPr>
              <w:t>riteņpāri</w:t>
            </w:r>
            <w:proofErr w:type="spellEnd"/>
            <w:r w:rsidRPr="000A3F8B">
              <w:rPr>
                <w:rFonts w:ascii="Times New Roman" w:hAnsi="Times New Roman"/>
                <w:sz w:val="22"/>
                <w:szCs w:val="22"/>
              </w:rPr>
              <w:t>, asis</w:t>
            </w:r>
            <w:r w:rsidR="00F94AF2">
              <w:rPr>
                <w:rFonts w:ascii="Times New Roman" w:hAnsi="Times New Roman"/>
                <w:sz w:val="22"/>
                <w:szCs w:val="22"/>
              </w:rPr>
              <w:t>.</w:t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873830A" w14:textId="2EB355BB" w:rsidR="000A3F8B" w:rsidRPr="00F834A0" w:rsidRDefault="00F834A0" w:rsidP="00F94AF2">
            <w:pPr>
              <w:pStyle w:val="Comment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834A0">
              <w:rPr>
                <w:rFonts w:ascii="Times New Roman" w:hAnsi="Times New Roman"/>
                <w:b/>
                <w:sz w:val="22"/>
                <w:szCs w:val="22"/>
              </w:rPr>
              <w:t>Pretendentam jānodrošina objektu pārvešanu, iekraušanu, izkraušanu un piegādi norādītajā vietā.</w:t>
            </w:r>
            <w:r w:rsidR="000A3F8B" w:rsidRPr="00F834A0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1F83388B" w14:textId="2E359FAD" w:rsidR="00F94AF2" w:rsidRDefault="00F834A0" w:rsidP="000A3F8B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Objektu s</w:t>
            </w:r>
            <w:r w:rsidR="00F94AF2">
              <w:rPr>
                <w:rFonts w:ascii="Times New Roman" w:hAnsi="Times New Roman"/>
                <w:sz w:val="22"/>
                <w:szCs w:val="22"/>
              </w:rPr>
              <w:t>tāvoklis:</w:t>
            </w:r>
            <w:r w:rsidR="00F94AF2">
              <w:rPr>
                <w:rFonts w:ascii="Times New Roman" w:hAnsi="Times New Roman"/>
                <w:sz w:val="22"/>
                <w:szCs w:val="22"/>
              </w:rPr>
              <w:tab/>
            </w:r>
            <w:r w:rsidR="00F94AF2">
              <w:rPr>
                <w:rFonts w:ascii="Times New Roman" w:hAnsi="Times New Roman"/>
                <w:sz w:val="22"/>
                <w:szCs w:val="22"/>
              </w:rPr>
              <w:tab/>
            </w:r>
            <w:r w:rsidR="00F94AF2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49B326D" w14:textId="2B1353D1" w:rsidR="000A3F8B" w:rsidRP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>Cauruļvadi - atsevišķi lokāli bojāti posmi, kurus nepieciešams nomainīt. Pārvietošanas rezultātā mainīsies cauruļvadu izvietojums un nepieciešams būs pārprojektēt un pārmontēt trasējumu.</w:t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70EA34DE" w14:textId="58027708" w:rsidR="000A3F8B" w:rsidRP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>Gaisa rezervuāri - nepieciešama 100% hidrauliskā pārbaude pie pārvietošanas (drošības prasības)</w:t>
            </w:r>
            <w:r w:rsidR="00F94AF2">
              <w:rPr>
                <w:rFonts w:ascii="Times New Roman" w:hAnsi="Times New Roman"/>
                <w:sz w:val="22"/>
                <w:szCs w:val="22"/>
              </w:rPr>
              <w:t>.</w:t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E81BB48" w14:textId="77777777" w:rsid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>Elektriskie aparāti - lielākoties apmierinošā stāvoklī, nepieciešama profilaktiskā apkope. Dažiem aparātiem nepieciešams remonts/nomaiņa - ķēžu īssav</w:t>
            </w:r>
            <w:r>
              <w:rPr>
                <w:rFonts w:ascii="Times New Roman" w:hAnsi="Times New Roman"/>
                <w:sz w:val="22"/>
                <w:szCs w:val="22"/>
              </w:rPr>
              <w:t>ienojums/pārkaršanas pēdas.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6329B2B" w14:textId="65F6FA34" w:rsidR="000A3F8B" w:rsidRP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3F8B">
              <w:rPr>
                <w:rFonts w:ascii="Times New Roman" w:hAnsi="Times New Roman"/>
                <w:sz w:val="22"/>
                <w:szCs w:val="22"/>
              </w:rPr>
              <w:t>Dīzeļģenerators</w:t>
            </w:r>
            <w:proofErr w:type="spellEnd"/>
            <w:r w:rsidRPr="000A3F8B">
              <w:rPr>
                <w:rFonts w:ascii="Times New Roman" w:hAnsi="Times New Roman"/>
                <w:sz w:val="22"/>
                <w:szCs w:val="22"/>
              </w:rPr>
              <w:t xml:space="preserve"> - stāvoklis precizējams profilaktiskās apkopes laikā</w:t>
            </w:r>
            <w:r>
              <w:rPr>
                <w:rFonts w:ascii="Times New Roman" w:hAnsi="Times New Roman"/>
                <w:sz w:val="22"/>
                <w:szCs w:val="22"/>
              </w:rPr>
              <w:t>, bet šķietami apmierinošs.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3A3C659" w14:textId="77777777" w:rsidR="000A3F8B" w:rsidRPr="000A3F8B" w:rsidRDefault="000A3F8B" w:rsidP="00F94AF2">
            <w:pPr>
              <w:pStyle w:val="Commen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lastRenderedPageBreak/>
              <w:t>Dokumentācija par stendu uzbūvi un darbību - nav saglabājusies un ir jāizveido no jauna pirms pārvietošanas</w:t>
            </w:r>
          </w:p>
          <w:tbl>
            <w:tblPr>
              <w:tblW w:w="5806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551"/>
              <w:gridCol w:w="1134"/>
              <w:gridCol w:w="1418"/>
            </w:tblGrid>
            <w:tr w:rsidR="000A3F8B" w:rsidRPr="000A3F8B" w14:paraId="6E916FCD" w14:textId="77777777" w:rsidTr="00137CAF">
              <w:trPr>
                <w:trHeight w:val="60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D1720" w14:textId="3E9FFB08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N.</w:t>
                  </w:r>
                  <w:r w:rsid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p.k.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D1BCF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Nosaukums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0D7B3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Vienības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FBF7A" w14:textId="04D3AD94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Daudzums, gab</w:t>
                  </w:r>
                  <w:r w:rsid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0A3F8B" w:rsidRPr="000A3F8B" w14:paraId="6C302BD4" w14:textId="77777777" w:rsidTr="00137CAF">
              <w:trPr>
                <w:trHeight w:val="9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B0C6C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87C4C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Stenda uzbūves un darbības principu dokumentēšana, pneimatisko shēmu sastādīšana, pārprojektēšana (izpilda P1, P2)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5737C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darba-h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C29E7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  <w:tr w:rsidR="000A3F8B" w:rsidRPr="000A3F8B" w14:paraId="2E8FF2E8" w14:textId="77777777" w:rsidTr="00137CAF">
              <w:trPr>
                <w:trHeight w:val="3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E449A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A80AB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Stenda elektroinstalācijas marķēšana (P4)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6E6DA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darba-h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32505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</w:p>
              </w:tc>
            </w:tr>
            <w:tr w:rsidR="000A3F8B" w:rsidRPr="000A3F8B" w14:paraId="001B3912" w14:textId="77777777" w:rsidTr="00137CAF">
              <w:trPr>
                <w:trHeight w:val="6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669B3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1D370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Stenda elektroinstalācijas dokumentēšana, elektriskās shēmas un vadu tabulas sastādīšana (izpilda P1, P2 un P3)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9609A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darba-h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BE9F5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160</w:t>
                  </w:r>
                </w:p>
              </w:tc>
            </w:tr>
            <w:tr w:rsidR="000A3F8B" w:rsidRPr="000A3F8B" w14:paraId="40E6F5D4" w14:textId="77777777" w:rsidTr="00137CAF">
              <w:trPr>
                <w:trHeight w:val="3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90B95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E14C4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Stenda daļēja izjaukšana un sagatavošana pārvešanai (P4)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F8FED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darba-h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14027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</w:tr>
            <w:tr w:rsidR="000A3F8B" w:rsidRPr="000A3F8B" w14:paraId="789ECD15" w14:textId="77777777" w:rsidTr="00137CAF">
              <w:trPr>
                <w:trHeight w:val="6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1A1CD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922DE" w14:textId="2D267782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Pneimatisko aparātu remonts, gumiju nomaiņa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B7FFB" w14:textId="437B67CD" w:rsidR="000A3F8B" w:rsidRPr="00137CAF" w:rsidRDefault="00F94AF2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Kompl</w:t>
                  </w:r>
                  <w:proofErr w:type="spellEnd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99826" w14:textId="6EEC7D08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</w:tr>
            <w:tr w:rsidR="000A3F8B" w:rsidRPr="000A3F8B" w14:paraId="624D1093" w14:textId="77777777" w:rsidTr="00137CAF">
              <w:trPr>
                <w:trHeight w:val="3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C01A5" w14:textId="66E46C6B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7C1E0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Rezervuāru hidrauliskā pārbaude un remonts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58B4A" w14:textId="2071B1F6" w:rsidR="000A3F8B" w:rsidRPr="00137CAF" w:rsidRDefault="00F94AF2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Kompl</w:t>
                  </w:r>
                  <w:proofErr w:type="spellEnd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D525B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0A3F8B" w:rsidRPr="000A3F8B" w14:paraId="2BB004C4" w14:textId="77777777" w:rsidTr="00137CAF">
              <w:trPr>
                <w:trHeight w:val="6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1B4FD" w14:textId="43FB679A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922BB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Cauruļvadu montāža, t.sk. ar jaunu posmu un trasējuma uzstādīšanu (P2+P4)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62B17" w14:textId="5C5D8732" w:rsidR="000A3F8B" w:rsidRPr="00137CAF" w:rsidRDefault="00F94AF2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Kompl</w:t>
                  </w:r>
                  <w:proofErr w:type="spellEnd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FCBF4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0A3F8B" w:rsidRPr="000A3F8B" w14:paraId="003932CD" w14:textId="77777777" w:rsidTr="00137CAF">
              <w:trPr>
                <w:trHeight w:val="6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3B03B" w14:textId="20B54A1E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C7B2B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Elektroinstalācijas pilnīga nomaiņa (P1, P2, P4), t.sk. vadu iegāde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E1DDE" w14:textId="61A2DBFB" w:rsidR="000A3F8B" w:rsidRPr="00137CAF" w:rsidRDefault="00F94AF2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Kompl</w:t>
                  </w:r>
                  <w:proofErr w:type="spellEnd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C8579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0A3F8B" w:rsidRPr="000A3F8B" w14:paraId="37A89856" w14:textId="77777777" w:rsidTr="00137CAF">
              <w:trPr>
                <w:trHeight w:val="3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E8CA9" w14:textId="3AB98D4C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6ECFD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Elektriskā aprīkojuma remonts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E739B" w14:textId="4B33AD3E" w:rsidR="000A3F8B" w:rsidRPr="00137CAF" w:rsidRDefault="00F94AF2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Kompl</w:t>
                  </w:r>
                  <w:proofErr w:type="spellEnd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60F60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0A3F8B" w:rsidRPr="000A3F8B" w14:paraId="62D5A8DC" w14:textId="77777777" w:rsidTr="00137CAF">
              <w:trPr>
                <w:trHeight w:val="3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8F981" w14:textId="55B4E31D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8A7AC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Dīzeļģeneratora</w:t>
                  </w:r>
                  <w:proofErr w:type="spellEnd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apkope (P1, P4) un palaišana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55B36" w14:textId="22CB5337" w:rsidR="000A3F8B" w:rsidRPr="00137CAF" w:rsidRDefault="00F94AF2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Kompl</w:t>
                  </w:r>
                  <w:proofErr w:type="spellEnd"/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8E569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0A3F8B" w:rsidRPr="000A3F8B" w14:paraId="66192BFC" w14:textId="77777777" w:rsidTr="00137CAF">
              <w:trPr>
                <w:trHeight w:val="3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BF735" w14:textId="351DEE9D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78CAF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Jaudas pārvada stenda iestatīšana un palaišana (P1)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D0D02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darba-h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8F418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160</w:t>
                  </w:r>
                </w:p>
              </w:tc>
            </w:tr>
            <w:tr w:rsidR="000A3F8B" w:rsidRPr="000A3F8B" w14:paraId="43DE0486" w14:textId="77777777" w:rsidTr="00137CAF">
              <w:trPr>
                <w:trHeight w:val="6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958A2" w14:textId="38F88DCB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A22E1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Pneimatisko un EPB bremžu stenda iestatīšana un palaišana (P2)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8FE75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darba-h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6BDD8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  <w:tr w:rsidR="000A3F8B" w:rsidRPr="000A3F8B" w14:paraId="484D3C8A" w14:textId="77777777" w:rsidTr="00137CAF">
              <w:trPr>
                <w:trHeight w:val="3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068AA" w14:textId="553F07D1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C0F63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ALSN stenda iestatīšana un palaišana (P2)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70355" w14:textId="77777777" w:rsidR="000A3F8B" w:rsidRPr="00137CAF" w:rsidRDefault="000A3F8B" w:rsidP="000A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darba-h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7C0D3" w14:textId="77777777" w:rsidR="000A3F8B" w:rsidRPr="00137CAF" w:rsidRDefault="000A3F8B" w:rsidP="000A3F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CAF">
                    <w:rPr>
                      <w:rFonts w:ascii="Times New Roman" w:eastAsia="Times New Roman" w:hAnsi="Times New Roman" w:cs="Times New Roman"/>
                      <w:color w:val="000000"/>
                    </w:rPr>
                    <w:t>160</w:t>
                  </w:r>
                </w:p>
              </w:tc>
            </w:tr>
          </w:tbl>
          <w:p w14:paraId="35DC839E" w14:textId="6741F48F" w:rsidR="00560B37" w:rsidRPr="000A3F8B" w:rsidRDefault="000A3F8B" w:rsidP="00C81A83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  <w:r w:rsidRPr="000A3F8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685" w:type="dxa"/>
          </w:tcPr>
          <w:p w14:paraId="67B2195D" w14:textId="4ABA641C" w:rsidR="000A3F8B" w:rsidRDefault="000A3F8B" w:rsidP="000A3F8B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42" w:rsidRPr="00462542" w14:paraId="20183F0D" w14:textId="77777777" w:rsidTr="002E2331">
        <w:trPr>
          <w:jc w:val="center"/>
        </w:trPr>
        <w:tc>
          <w:tcPr>
            <w:tcW w:w="822" w:type="dxa"/>
          </w:tcPr>
          <w:p w14:paraId="01A370E1" w14:textId="7BBC4E95" w:rsidR="00462542" w:rsidRPr="00462542" w:rsidRDefault="00E56C35" w:rsidP="00FE0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43" w:type="dxa"/>
          </w:tcPr>
          <w:p w14:paraId="762E1D9C" w14:textId="158E1CC4" w:rsidR="00C92877" w:rsidRPr="00C92877" w:rsidRDefault="00E56C35" w:rsidP="00C92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37CAF">
              <w:rPr>
                <w:rFonts w:ascii="Times New Roman" w:hAnsi="Times New Roman"/>
                <w:color w:val="000000"/>
              </w:rPr>
              <w:t>.</w:t>
            </w:r>
            <w:r w:rsidR="00C92877" w:rsidRPr="00C92877">
              <w:rPr>
                <w:rFonts w:ascii="Times New Roman" w:hAnsi="Times New Roman"/>
                <w:color w:val="000000"/>
              </w:rPr>
              <w:t xml:space="preserve">1. Dzelzceļa sakaru sistēmu </w:t>
            </w:r>
            <w:r w:rsidR="00C92877" w:rsidRPr="00C92877">
              <w:rPr>
                <w:rFonts w:ascii="Times New Roman" w:hAnsi="Times New Roman"/>
              </w:rPr>
              <w:t>laboratorija</w:t>
            </w:r>
            <w:r w:rsidR="00C92877" w:rsidRPr="00C92877">
              <w:rPr>
                <w:rFonts w:ascii="Times New Roman" w:hAnsi="Times New Roman"/>
                <w:color w:val="000000"/>
              </w:rPr>
              <w:t>.</w:t>
            </w:r>
          </w:p>
          <w:p w14:paraId="6232DA83" w14:textId="7688FD49" w:rsidR="00462542" w:rsidRDefault="00E56C35" w:rsidP="00C9287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37CAF">
              <w:rPr>
                <w:rFonts w:ascii="Times New Roman" w:hAnsi="Times New Roman"/>
                <w:color w:val="000000"/>
              </w:rPr>
              <w:t>.</w:t>
            </w:r>
            <w:r w:rsidR="00C92877" w:rsidRPr="00C92877">
              <w:rPr>
                <w:rFonts w:ascii="Times New Roman" w:hAnsi="Times New Roman"/>
                <w:color w:val="000000"/>
              </w:rPr>
              <w:t>2. Transp</w:t>
            </w:r>
            <w:r w:rsidR="00FC62BF">
              <w:rPr>
                <w:rFonts w:ascii="Times New Roman" w:hAnsi="Times New Roman"/>
                <w:color w:val="000000"/>
              </w:rPr>
              <w:t>orta sakaru līniju laboratorija.</w:t>
            </w:r>
          </w:p>
          <w:p w14:paraId="53F5CE19" w14:textId="74180AE3" w:rsidR="00C92877" w:rsidRPr="00462542" w:rsidRDefault="00E56C35" w:rsidP="00C928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137CAF">
              <w:rPr>
                <w:rFonts w:ascii="Times New Roman" w:hAnsi="Times New Roman"/>
              </w:rPr>
              <w:t>.</w:t>
            </w:r>
            <w:r w:rsidR="00C92877" w:rsidRPr="00C92877">
              <w:rPr>
                <w:rFonts w:ascii="Times New Roman" w:hAnsi="Times New Roman"/>
              </w:rPr>
              <w:t>3.  Dze</w:t>
            </w:r>
            <w:r w:rsidR="003437E3">
              <w:rPr>
                <w:rFonts w:ascii="Times New Roman" w:hAnsi="Times New Roman"/>
              </w:rPr>
              <w:t xml:space="preserve">lzceļa telekomunikāciju sistēmu </w:t>
            </w:r>
            <w:proofErr w:type="spellStart"/>
            <w:r w:rsidR="00C92877" w:rsidRPr="00C92877">
              <w:rPr>
                <w:rFonts w:ascii="Times New Roman" w:hAnsi="Times New Roman"/>
              </w:rPr>
              <w:t>kanālveidojošās</w:t>
            </w:r>
            <w:proofErr w:type="spellEnd"/>
            <w:r w:rsidR="00C92877" w:rsidRPr="00C92877">
              <w:rPr>
                <w:rFonts w:ascii="Times New Roman" w:hAnsi="Times New Roman"/>
              </w:rPr>
              <w:t xml:space="preserve"> aparatūras laboratorija</w:t>
            </w:r>
          </w:p>
        </w:tc>
        <w:tc>
          <w:tcPr>
            <w:tcW w:w="6486" w:type="dxa"/>
          </w:tcPr>
          <w:p w14:paraId="7204BA58" w14:textId="710D588C" w:rsidR="004D628D" w:rsidRPr="0055331F" w:rsidRDefault="004D628D" w:rsidP="004D6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31F">
              <w:rPr>
                <w:rFonts w:ascii="Times New Roman" w:hAnsi="Times New Roman"/>
              </w:rPr>
              <w:t xml:space="preserve">Jāsastāda vai jāatjauno visa trūkstošā tehniskā dokumentācija un shēmas, lai nodrošinātu laboratorijas stendu darbību pēc montāžas. </w:t>
            </w:r>
          </w:p>
          <w:p w14:paraId="3A6DA4BA" w14:textId="656F7468" w:rsidR="004D628D" w:rsidRDefault="004D628D" w:rsidP="004D6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31F">
              <w:rPr>
                <w:rFonts w:ascii="Times New Roman" w:hAnsi="Times New Roman"/>
              </w:rPr>
              <w:t xml:space="preserve">Visi laboratorijas stendi ir jāizjauc, izņemot ārā visus blokus. un jāsagatavo pārvešanai </w:t>
            </w:r>
            <w:r w:rsidRPr="00F834A0">
              <w:rPr>
                <w:rFonts w:ascii="Times New Roman" w:hAnsi="Times New Roman"/>
                <w:b/>
              </w:rPr>
              <w:t>(pārvešanu, iekraušanu, izkraušanu un piegādi norādītajā vietā veiks uzņēmums, ar kuru RTU jau ir noslēgts līgums, un šis darbs ir iekļauts kopējā sarakstā par TI pārvietošanu Ķīpsalā)</w:t>
            </w:r>
            <w:r w:rsidR="00F834A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F1DAE22" w14:textId="6C6A3B38" w:rsidR="004D628D" w:rsidRDefault="004D628D" w:rsidP="004D6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Pēc montāžas ir jāveic visu laboratorijas stendu regulēšana darba pārbaude.</w:t>
            </w:r>
          </w:p>
          <w:p w14:paraId="20AE1A8E" w14:textId="2E498F8B" w:rsidR="004D628D" w:rsidRDefault="004D628D" w:rsidP="004D6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Elementu un bloku pārvietošana jānodrošina tā, lai saglabātu to darbību bez diagnostikas vai remonta.</w:t>
            </w:r>
          </w:p>
          <w:p w14:paraId="0926AC54" w14:textId="57148948" w:rsidR="00F26AEB" w:rsidRDefault="004D628D" w:rsidP="004D6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Pārvietošanai ir paredzēti sekojoši laboratorijas stendi un bloki:</w:t>
            </w:r>
          </w:p>
          <w:p w14:paraId="788385B2" w14:textId="582A94A7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 xml:space="preserve">SKSL (kabelis, P5-10, R-bloks) LD4-1 </w:t>
            </w:r>
          </w:p>
          <w:p w14:paraId="68ACF147" w14:textId="49FD3583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KKSL (kabelis, P5-15, R-bloks) LD4-2</w:t>
            </w:r>
          </w:p>
          <w:p w14:paraId="4DB1151F" w14:textId="29A557A6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ŠOSL (FO bloks, barošanas bloks, G5-54, C-104) LD5</w:t>
            </w:r>
          </w:p>
          <w:p w14:paraId="1D84286C" w14:textId="7F7251BA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LD6 – P-321, 2 B3-13 (</w:t>
            </w:r>
            <w:proofErr w:type="spellStart"/>
            <w:r w:rsidRPr="004D628D">
              <w:rPr>
                <w:rFonts w:ascii="Times New Roman" w:hAnsi="Times New Roman"/>
              </w:rPr>
              <w:t>katrod</w:t>
            </w:r>
            <w:proofErr w:type="spellEnd"/>
            <w:r w:rsidRPr="004D628D">
              <w:rPr>
                <w:rFonts w:ascii="Times New Roman" w:hAnsi="Times New Roman"/>
              </w:rPr>
              <w:t>.</w:t>
            </w:r>
            <w:r w:rsidR="007A219B" w:rsidRPr="004D628D">
              <w:rPr>
                <w:rFonts w:ascii="Times New Roman" w:hAnsi="Times New Roman"/>
              </w:rPr>
              <w:t xml:space="preserve"> </w:t>
            </w:r>
            <w:r w:rsidRPr="004D628D">
              <w:rPr>
                <w:rFonts w:ascii="Times New Roman" w:hAnsi="Times New Roman"/>
              </w:rPr>
              <w:t>voltmetrs)</w:t>
            </w:r>
          </w:p>
          <w:p w14:paraId="720F68C2" w14:textId="08793A9A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 xml:space="preserve">5.LD7 –П-323, zemfrekvenču </w:t>
            </w:r>
            <w:r w:rsidR="007A219B" w:rsidRPr="004D628D">
              <w:rPr>
                <w:rFonts w:ascii="Times New Roman" w:hAnsi="Times New Roman"/>
              </w:rPr>
              <w:t>ģ</w:t>
            </w:r>
            <w:r w:rsidRPr="004D628D">
              <w:rPr>
                <w:rFonts w:ascii="Times New Roman" w:hAnsi="Times New Roman"/>
              </w:rPr>
              <w:t xml:space="preserve">enerators                                            </w:t>
            </w:r>
          </w:p>
          <w:p w14:paraId="5432DD27" w14:textId="5E59A500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AON (</w:t>
            </w:r>
            <w:proofErr w:type="spellStart"/>
            <w:r w:rsidRPr="004D628D">
              <w:rPr>
                <w:rFonts w:ascii="Times New Roman" w:hAnsi="Times New Roman"/>
              </w:rPr>
              <w:t>HetNet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  <w:p w14:paraId="3E5AF29E" w14:textId="09D87E8D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 xml:space="preserve">LD1 TA-71 (zemfrekvenču </w:t>
            </w:r>
            <w:r w:rsidR="007A219B" w:rsidRPr="004D628D">
              <w:rPr>
                <w:rFonts w:ascii="Times New Roman" w:hAnsi="Times New Roman"/>
              </w:rPr>
              <w:t>ģ</w:t>
            </w:r>
            <w:r w:rsidRPr="004D628D">
              <w:rPr>
                <w:rFonts w:ascii="Times New Roman" w:hAnsi="Times New Roman"/>
              </w:rPr>
              <w:t xml:space="preserve">enerators  Г3-33, R-bloks, milimetrs (1mV-1V)                                          </w:t>
            </w:r>
          </w:p>
          <w:p w14:paraId="421A5BE2" w14:textId="330C1830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PCDT-1M star</w:t>
            </w:r>
            <w:r w:rsidR="007A219B" w:rsidRPr="004D628D">
              <w:rPr>
                <w:rFonts w:ascii="Times New Roman" w:hAnsi="Times New Roman"/>
              </w:rPr>
              <w:t>p</w:t>
            </w:r>
            <w:r w:rsidRPr="004D628D">
              <w:rPr>
                <w:rFonts w:ascii="Times New Roman" w:hAnsi="Times New Roman"/>
              </w:rPr>
              <w:t>punkt</w:t>
            </w:r>
            <w:r w:rsidR="007A219B" w:rsidRPr="004D628D">
              <w:rPr>
                <w:rFonts w:ascii="Times New Roman" w:hAnsi="Times New Roman"/>
              </w:rPr>
              <w:t>u</w:t>
            </w:r>
            <w:r w:rsidRPr="004D628D">
              <w:rPr>
                <w:rFonts w:ascii="Times New Roman" w:hAnsi="Times New Roman"/>
              </w:rPr>
              <w:t xml:space="preserve"> (</w:t>
            </w:r>
            <w:proofErr w:type="spellStart"/>
            <w:r w:rsidRPr="004D628D">
              <w:rPr>
                <w:rFonts w:ascii="Times New Roman" w:hAnsi="Times New Roman"/>
              </w:rPr>
              <w:t>dispečerpults</w:t>
            </w:r>
            <w:proofErr w:type="spellEnd"/>
            <w:r w:rsidRPr="004D628D">
              <w:rPr>
                <w:rFonts w:ascii="Times New Roman" w:hAnsi="Times New Roman"/>
              </w:rPr>
              <w:t>, 2 ППС-1)</w:t>
            </w:r>
          </w:p>
          <w:p w14:paraId="0843C7B2" w14:textId="1046B06A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PDH, SDH.</w:t>
            </w:r>
          </w:p>
          <w:p w14:paraId="2B509BEE" w14:textId="77777777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 xml:space="preserve">4.ATS (MERIDIN-1- </w:t>
            </w:r>
            <w:proofErr w:type="spellStart"/>
            <w:r w:rsidRPr="004D628D">
              <w:rPr>
                <w:rFonts w:ascii="Times New Roman" w:hAnsi="Times New Roman"/>
              </w:rPr>
              <w:t>LDz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  <w:p w14:paraId="4E7AD001" w14:textId="3B35CBDA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5. Dzelzceļa telekomunik</w:t>
            </w:r>
            <w:r w:rsidR="007A219B" w:rsidRPr="004D628D">
              <w:rPr>
                <w:rFonts w:ascii="Times New Roman" w:hAnsi="Times New Roman"/>
              </w:rPr>
              <w:t>ā</w:t>
            </w:r>
            <w:r w:rsidRPr="004D628D">
              <w:rPr>
                <w:rFonts w:ascii="Times New Roman" w:hAnsi="Times New Roman"/>
              </w:rPr>
              <w:t>cijas tīkli   (</w:t>
            </w:r>
            <w:proofErr w:type="spellStart"/>
            <w:r w:rsidRPr="004D628D">
              <w:rPr>
                <w:rFonts w:ascii="Times New Roman" w:hAnsi="Times New Roman"/>
              </w:rPr>
              <w:t>HetNet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  <w:p w14:paraId="559D1A24" w14:textId="3779B022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Antenas (dzelzceļa antenas, GSM-R,3G,4G antenas)</w:t>
            </w:r>
          </w:p>
          <w:p w14:paraId="0700BB30" w14:textId="4EBBE906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lastRenderedPageBreak/>
              <w:t>Radioviļņu izplatīšanas</w:t>
            </w:r>
          </w:p>
          <w:p w14:paraId="4219C753" w14:textId="583AF76E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Dzelzceļa radiostacijas (66PTM-A2,  PB-1, GSM-R)</w:t>
            </w:r>
          </w:p>
          <w:p w14:paraId="72009F67" w14:textId="263A42C2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Vilcienu radiosakaru tīkls (dispečera pults, barošanas bloks, 2 radiostacijas (43PTM, PB-1)</w:t>
            </w:r>
          </w:p>
          <w:p w14:paraId="1CF033F9" w14:textId="01B23777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Ciparu radioreleju līnijas (2 RRS + RR bloks, baroš</w:t>
            </w:r>
            <w:r w:rsidR="007A219B" w:rsidRPr="004D628D">
              <w:rPr>
                <w:rFonts w:ascii="Times New Roman" w:hAnsi="Times New Roman"/>
              </w:rPr>
              <w:t>a</w:t>
            </w:r>
            <w:r w:rsidRPr="004D628D">
              <w:rPr>
                <w:rFonts w:ascii="Times New Roman" w:hAnsi="Times New Roman"/>
              </w:rPr>
              <w:t xml:space="preserve">nas bloks, 4 </w:t>
            </w:r>
            <w:proofErr w:type="spellStart"/>
            <w:r w:rsidRPr="004D628D">
              <w:rPr>
                <w:rFonts w:ascii="Times New Roman" w:hAnsi="Times New Roman"/>
              </w:rPr>
              <w:t>spektroanalizatori</w:t>
            </w:r>
            <w:proofErr w:type="spellEnd"/>
            <w:r w:rsidRPr="004D628D">
              <w:rPr>
                <w:rFonts w:ascii="Times New Roman" w:hAnsi="Times New Roman"/>
              </w:rPr>
              <w:t xml:space="preserve"> )</w:t>
            </w:r>
          </w:p>
          <w:p w14:paraId="46068D2E" w14:textId="6D485B0F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 xml:space="preserve">Dzelzceļa </w:t>
            </w:r>
            <w:proofErr w:type="spellStart"/>
            <w:r w:rsidRPr="004D628D">
              <w:rPr>
                <w:rFonts w:ascii="Times New Roman" w:hAnsi="Times New Roman"/>
              </w:rPr>
              <w:t>Heterogeneous</w:t>
            </w:r>
            <w:proofErr w:type="spellEnd"/>
            <w:r w:rsidRPr="004D628D">
              <w:rPr>
                <w:rFonts w:ascii="Times New Roman" w:hAnsi="Times New Roman"/>
              </w:rPr>
              <w:t xml:space="preserve"> </w:t>
            </w:r>
            <w:proofErr w:type="spellStart"/>
            <w:r w:rsidRPr="004D628D">
              <w:rPr>
                <w:rFonts w:ascii="Times New Roman" w:hAnsi="Times New Roman"/>
              </w:rPr>
              <w:t>Network</w:t>
            </w:r>
            <w:proofErr w:type="spellEnd"/>
            <w:r w:rsidRPr="004D628D">
              <w:rPr>
                <w:rFonts w:ascii="Times New Roman" w:hAnsi="Times New Roman"/>
              </w:rPr>
              <w:t xml:space="preserve"> (</w:t>
            </w:r>
            <w:proofErr w:type="spellStart"/>
            <w:r w:rsidRPr="004D628D">
              <w:rPr>
                <w:rFonts w:ascii="Times New Roman" w:hAnsi="Times New Roman"/>
              </w:rPr>
              <w:t>HetNet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  <w:p w14:paraId="651B7E3E" w14:textId="76EF67B1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Pastiprinātāji (</w:t>
            </w:r>
            <w:proofErr w:type="spellStart"/>
            <w:r w:rsidRPr="004D628D">
              <w:rPr>
                <w:rFonts w:ascii="Times New Roman" w:hAnsi="Times New Roman"/>
              </w:rPr>
              <w:t>Work-Bench</w:t>
            </w:r>
            <w:proofErr w:type="spellEnd"/>
            <w:r w:rsidRPr="004D628D">
              <w:rPr>
                <w:rFonts w:ascii="Times New Roman" w:hAnsi="Times New Roman"/>
              </w:rPr>
              <w:t xml:space="preserve">, </w:t>
            </w:r>
            <w:proofErr w:type="spellStart"/>
            <w:r w:rsidRPr="004D628D">
              <w:rPr>
                <w:rFonts w:ascii="Times New Roman" w:hAnsi="Times New Roman"/>
              </w:rPr>
              <w:t>Multisim</w:t>
            </w:r>
            <w:proofErr w:type="spellEnd"/>
            <w:r w:rsidRPr="004D628D">
              <w:rPr>
                <w:rFonts w:ascii="Times New Roman" w:hAnsi="Times New Roman"/>
              </w:rPr>
              <w:t>, ierīces)</w:t>
            </w:r>
          </w:p>
          <w:p w14:paraId="6AC71059" w14:textId="276D8F16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Ģeneratori (</w:t>
            </w:r>
            <w:proofErr w:type="spellStart"/>
            <w:r w:rsidRPr="004D628D">
              <w:rPr>
                <w:rFonts w:ascii="Times New Roman" w:hAnsi="Times New Roman"/>
              </w:rPr>
              <w:t>Multisim</w:t>
            </w:r>
            <w:proofErr w:type="spellEnd"/>
            <w:r w:rsidRPr="004D628D">
              <w:rPr>
                <w:rFonts w:ascii="Times New Roman" w:hAnsi="Times New Roman"/>
              </w:rPr>
              <w:t>, ierīces)</w:t>
            </w:r>
          </w:p>
          <w:p w14:paraId="71CB21E3" w14:textId="1D6F98CB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Ciparu elektronikas elementi (trigeri, skait</w:t>
            </w:r>
            <w:r w:rsidR="007A219B" w:rsidRPr="004D628D">
              <w:rPr>
                <w:rFonts w:ascii="Times New Roman" w:hAnsi="Times New Roman"/>
              </w:rPr>
              <w:t>ī</w:t>
            </w:r>
            <w:r w:rsidRPr="004D628D">
              <w:rPr>
                <w:rFonts w:ascii="Times New Roman" w:hAnsi="Times New Roman"/>
              </w:rPr>
              <w:t>tāji, reģistri, multipleksori-komutatori  (</w:t>
            </w:r>
            <w:proofErr w:type="spellStart"/>
            <w:r w:rsidRPr="004D628D">
              <w:rPr>
                <w:rFonts w:ascii="Times New Roman" w:hAnsi="Times New Roman"/>
              </w:rPr>
              <w:t>Multisim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  <w:p w14:paraId="18DFEF8A" w14:textId="78FDE174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 xml:space="preserve">Ciparu elektronikas elementi (OAI, PAI- </w:t>
            </w:r>
            <w:proofErr w:type="spellStart"/>
            <w:r w:rsidRPr="004D628D">
              <w:rPr>
                <w:rFonts w:ascii="Times New Roman" w:hAnsi="Times New Roman"/>
              </w:rPr>
              <w:t>Multisim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  <w:p w14:paraId="61F52E2A" w14:textId="1982B19A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D628D">
              <w:rPr>
                <w:rFonts w:ascii="Times New Roman" w:hAnsi="Times New Roman"/>
              </w:rPr>
              <w:t>Optroni</w:t>
            </w:r>
            <w:proofErr w:type="spellEnd"/>
            <w:r w:rsidRPr="004D628D">
              <w:rPr>
                <w:rFonts w:ascii="Times New Roman" w:hAnsi="Times New Roman"/>
              </w:rPr>
              <w:t xml:space="preserve"> (</w:t>
            </w:r>
            <w:proofErr w:type="spellStart"/>
            <w:r w:rsidRPr="004D628D">
              <w:rPr>
                <w:rFonts w:ascii="Times New Roman" w:hAnsi="Times New Roman"/>
              </w:rPr>
              <w:t>Multisim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  <w:p w14:paraId="15F8E178" w14:textId="11536357" w:rsidR="00F26AEB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CAP un ACP (</w:t>
            </w:r>
            <w:proofErr w:type="spellStart"/>
            <w:r w:rsidRPr="004D628D">
              <w:rPr>
                <w:rFonts w:ascii="Times New Roman" w:hAnsi="Times New Roman"/>
              </w:rPr>
              <w:t>Multisim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  <w:p w14:paraId="17F06E40" w14:textId="07EE74C4" w:rsidR="00462542" w:rsidRPr="004D628D" w:rsidRDefault="00F26AEB" w:rsidP="004D62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8D">
              <w:rPr>
                <w:rFonts w:ascii="Times New Roman" w:hAnsi="Times New Roman"/>
              </w:rPr>
              <w:t>7. Dzelzceļa tīklu elementi (</w:t>
            </w:r>
            <w:proofErr w:type="spellStart"/>
            <w:r w:rsidRPr="004D628D">
              <w:rPr>
                <w:rFonts w:ascii="Times New Roman" w:hAnsi="Times New Roman"/>
              </w:rPr>
              <w:t>HetNet</w:t>
            </w:r>
            <w:proofErr w:type="spellEnd"/>
            <w:r w:rsidRPr="004D628D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14:paraId="035CF463" w14:textId="50A4D641" w:rsidR="00C92877" w:rsidRPr="00462542" w:rsidRDefault="00C92877" w:rsidP="00C81A8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379B54" w14:textId="4DD8BE4D" w:rsidR="00EF294E" w:rsidRDefault="00FC40B1">
      <w:pPr>
        <w:rPr>
          <w:rFonts w:ascii="Times New Roman" w:hAnsi="Times New Roman" w:cs="Times New Roman"/>
          <w:b/>
        </w:rPr>
      </w:pPr>
      <w:r w:rsidRPr="00FC40B1">
        <w:rPr>
          <w:rFonts w:ascii="Times New Roman" w:hAnsi="Times New Roman" w:cs="Times New Roman"/>
          <w:b/>
        </w:rPr>
        <w:t>*Tehniskajam piedāvājumam ir jāpievieno izpildāmo darbu posmu apraksts.</w:t>
      </w:r>
    </w:p>
    <w:p w14:paraId="56C0E035" w14:textId="77777777" w:rsidR="002E2331" w:rsidRDefault="002E2331">
      <w:pPr>
        <w:rPr>
          <w:rFonts w:ascii="Times New Roman" w:hAnsi="Times New Roman" w:cs="Times New Roman"/>
          <w:b/>
        </w:rPr>
      </w:pPr>
    </w:p>
    <w:p w14:paraId="4066245A" w14:textId="77777777" w:rsidR="002E2331" w:rsidRPr="00FC40B1" w:rsidRDefault="002E2331">
      <w:pPr>
        <w:rPr>
          <w:rFonts w:ascii="Times New Roman" w:hAnsi="Times New Roman" w:cs="Times New Roman"/>
          <w:b/>
        </w:rPr>
      </w:pPr>
    </w:p>
    <w:p w14:paraId="75AA0EC1" w14:textId="77777777" w:rsidR="00E40DC7" w:rsidRPr="007B790F" w:rsidRDefault="00E40DC7" w:rsidP="00E40DC7">
      <w:pPr>
        <w:rPr>
          <w:rFonts w:ascii="Times New Roman" w:hAnsi="Times New Roman" w:cs="Times New Roman"/>
        </w:rPr>
      </w:pPr>
      <w:r w:rsidRPr="007B790F">
        <w:rPr>
          <w:rFonts w:ascii="Times New Roman" w:hAnsi="Times New Roman" w:cs="Times New Roman"/>
        </w:rPr>
        <w:t>_________________________________________________________________________</w:t>
      </w:r>
    </w:p>
    <w:p w14:paraId="03F1FE01" w14:textId="19C0AD25" w:rsidR="00E40DC7" w:rsidRPr="00FC40B1" w:rsidRDefault="00E40DC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790F">
        <w:rPr>
          <w:rFonts w:ascii="Times New Roman" w:hAnsi="Times New Roman" w:cs="Times New Roman"/>
          <w:sz w:val="20"/>
          <w:szCs w:val="20"/>
        </w:rPr>
        <w:t>(pretendenta  nosaukums)</w:t>
      </w:r>
      <w:r w:rsidRPr="007B790F">
        <w:rPr>
          <w:rFonts w:ascii="Times New Roman" w:hAnsi="Times New Roman" w:cs="Times New Roman"/>
          <w:sz w:val="20"/>
          <w:szCs w:val="20"/>
        </w:rPr>
        <w:tab/>
        <w:t xml:space="preserve"> (amats) </w:t>
      </w:r>
      <w:r w:rsidRPr="007B790F">
        <w:rPr>
          <w:rFonts w:ascii="Times New Roman" w:hAnsi="Times New Roman" w:cs="Times New Roman"/>
          <w:sz w:val="20"/>
          <w:szCs w:val="20"/>
        </w:rPr>
        <w:tab/>
        <w:t>(paraksts)</w:t>
      </w:r>
      <w:r w:rsidRPr="007B790F">
        <w:rPr>
          <w:rFonts w:ascii="Times New Roman" w:hAnsi="Times New Roman" w:cs="Times New Roman"/>
          <w:sz w:val="20"/>
          <w:szCs w:val="20"/>
        </w:rPr>
        <w:tab/>
      </w:r>
      <w:r w:rsidRPr="007B790F">
        <w:rPr>
          <w:rFonts w:ascii="Times New Roman" w:hAnsi="Times New Roman" w:cs="Times New Roman"/>
          <w:sz w:val="20"/>
          <w:szCs w:val="20"/>
        </w:rPr>
        <w:tab/>
      </w:r>
      <w:r w:rsidRPr="007B790F">
        <w:rPr>
          <w:rFonts w:ascii="Times New Roman" w:hAnsi="Times New Roman" w:cs="Times New Roman"/>
          <w:color w:val="000000"/>
          <w:sz w:val="20"/>
          <w:szCs w:val="20"/>
        </w:rPr>
        <w:t>(vārds, uzvārds)</w:t>
      </w:r>
    </w:p>
    <w:sectPr w:rsidR="00E40DC7" w:rsidRPr="00FC40B1" w:rsidSect="003437E3">
      <w:footerReference w:type="default" r:id="rId8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9FA3" w14:textId="77777777" w:rsidR="00C11EF3" w:rsidRDefault="00C11EF3" w:rsidP="00C11EF3">
      <w:pPr>
        <w:spacing w:after="0" w:line="240" w:lineRule="auto"/>
      </w:pPr>
      <w:r>
        <w:separator/>
      </w:r>
    </w:p>
  </w:endnote>
  <w:endnote w:type="continuationSeparator" w:id="0">
    <w:p w14:paraId="4AE0C0B6" w14:textId="77777777" w:rsidR="00C11EF3" w:rsidRDefault="00C11EF3" w:rsidP="00C1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6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2A8E3" w14:textId="58FD2293" w:rsidR="00C11EF3" w:rsidRDefault="00C11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C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D663D1" w14:textId="77777777" w:rsidR="00C11EF3" w:rsidRDefault="00C1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143A" w14:textId="77777777" w:rsidR="00C11EF3" w:rsidRDefault="00C11EF3" w:rsidP="00C11EF3">
      <w:pPr>
        <w:spacing w:after="0" w:line="240" w:lineRule="auto"/>
      </w:pPr>
      <w:r>
        <w:separator/>
      </w:r>
    </w:p>
  </w:footnote>
  <w:footnote w:type="continuationSeparator" w:id="0">
    <w:p w14:paraId="277137FF" w14:textId="77777777" w:rsidR="00C11EF3" w:rsidRDefault="00C11EF3" w:rsidP="00C1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5A6"/>
    <w:multiLevelType w:val="multilevel"/>
    <w:tmpl w:val="BEC8A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B5600"/>
    <w:multiLevelType w:val="hybridMultilevel"/>
    <w:tmpl w:val="1BDC09D6"/>
    <w:lvl w:ilvl="0" w:tplc="40BE0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22E0"/>
    <w:multiLevelType w:val="multilevel"/>
    <w:tmpl w:val="6A76C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23702"/>
    <w:multiLevelType w:val="hybridMultilevel"/>
    <w:tmpl w:val="0DA036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644D7"/>
    <w:multiLevelType w:val="multilevel"/>
    <w:tmpl w:val="57469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A0C04"/>
    <w:multiLevelType w:val="hybridMultilevel"/>
    <w:tmpl w:val="A1C449F4"/>
    <w:lvl w:ilvl="0" w:tplc="F258B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65192"/>
    <w:multiLevelType w:val="hybridMultilevel"/>
    <w:tmpl w:val="5CE8B47E"/>
    <w:lvl w:ilvl="0" w:tplc="C3D2F5E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694FA7"/>
    <w:multiLevelType w:val="hybridMultilevel"/>
    <w:tmpl w:val="FC7246D0"/>
    <w:lvl w:ilvl="0" w:tplc="40BE0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97785"/>
    <w:multiLevelType w:val="hybridMultilevel"/>
    <w:tmpl w:val="007E54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42EC2"/>
    <w:multiLevelType w:val="hybridMultilevel"/>
    <w:tmpl w:val="6CD8F4B6"/>
    <w:lvl w:ilvl="0" w:tplc="6A62A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2"/>
    <w:rsid w:val="000A3F8B"/>
    <w:rsid w:val="00137CAF"/>
    <w:rsid w:val="001F4349"/>
    <w:rsid w:val="002721B6"/>
    <w:rsid w:val="002E2331"/>
    <w:rsid w:val="003437E3"/>
    <w:rsid w:val="003615FA"/>
    <w:rsid w:val="00420C88"/>
    <w:rsid w:val="00453AF0"/>
    <w:rsid w:val="00462542"/>
    <w:rsid w:val="00493118"/>
    <w:rsid w:val="004D628D"/>
    <w:rsid w:val="004E1150"/>
    <w:rsid w:val="004E4443"/>
    <w:rsid w:val="0055331F"/>
    <w:rsid w:val="00560B37"/>
    <w:rsid w:val="005726FB"/>
    <w:rsid w:val="005F1880"/>
    <w:rsid w:val="00641D78"/>
    <w:rsid w:val="007457FA"/>
    <w:rsid w:val="007A219B"/>
    <w:rsid w:val="007B740E"/>
    <w:rsid w:val="009004A3"/>
    <w:rsid w:val="009330FF"/>
    <w:rsid w:val="00941680"/>
    <w:rsid w:val="00950681"/>
    <w:rsid w:val="009733F5"/>
    <w:rsid w:val="009D7D9B"/>
    <w:rsid w:val="00AB68C5"/>
    <w:rsid w:val="00B649CA"/>
    <w:rsid w:val="00B97D6D"/>
    <w:rsid w:val="00BD0CE4"/>
    <w:rsid w:val="00BE55E0"/>
    <w:rsid w:val="00C11EF3"/>
    <w:rsid w:val="00C40923"/>
    <w:rsid w:val="00C40FD7"/>
    <w:rsid w:val="00C81A83"/>
    <w:rsid w:val="00C92877"/>
    <w:rsid w:val="00CA40E2"/>
    <w:rsid w:val="00DC46E6"/>
    <w:rsid w:val="00E20B5E"/>
    <w:rsid w:val="00E40DC7"/>
    <w:rsid w:val="00E56C35"/>
    <w:rsid w:val="00EF294E"/>
    <w:rsid w:val="00F2280E"/>
    <w:rsid w:val="00F26AEB"/>
    <w:rsid w:val="00F834A0"/>
    <w:rsid w:val="00F94AF2"/>
    <w:rsid w:val="00FC40B1"/>
    <w:rsid w:val="00FC62BF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0CE1E"/>
  <w15:docId w15:val="{8A5112C4-1E0C-4303-A19D-8409E478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42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0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B5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5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5E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BE5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C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F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11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F3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DEF6-6070-4C7E-AE21-F646BBE3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4077</Words>
  <Characters>2324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Jevgēnijs Gramsts</cp:lastModifiedBy>
  <cp:revision>3</cp:revision>
  <dcterms:created xsi:type="dcterms:W3CDTF">2016-07-21T11:37:00Z</dcterms:created>
  <dcterms:modified xsi:type="dcterms:W3CDTF">2016-07-21T11:44:00Z</dcterms:modified>
</cp:coreProperties>
</file>